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FC4C6" w14:textId="5469D320" w:rsidR="00735601" w:rsidRDefault="006D0C58">
      <w:pPr>
        <w:spacing w:before="60" w:line="252" w:lineRule="auto"/>
        <w:ind w:left="4962"/>
        <w:jc w:val="both"/>
        <w:rPr>
          <w:sz w:val="28"/>
        </w:rPr>
      </w:pPr>
      <w:r>
        <w:rPr>
          <w:sz w:val="28"/>
        </w:rPr>
        <w:t>Приложение 2</w:t>
      </w:r>
      <w:r>
        <w:rPr>
          <w:sz w:val="28"/>
        </w:rPr>
        <w:t> </w:t>
      </w:r>
      <w:r>
        <w:rPr>
          <w:sz w:val="28"/>
        </w:rPr>
        <w:t xml:space="preserve">к Заключению </w:t>
      </w:r>
    </w:p>
    <w:p w14:paraId="098511D2" w14:textId="77777777" w:rsidR="00735601" w:rsidRDefault="00735601">
      <w:pPr>
        <w:spacing w:before="60"/>
        <w:ind w:right="-6" w:firstLine="709"/>
        <w:jc w:val="center"/>
        <w:rPr>
          <w:b/>
          <w:sz w:val="28"/>
        </w:rPr>
      </w:pPr>
    </w:p>
    <w:p w14:paraId="5109505F" w14:textId="77777777" w:rsidR="00735601" w:rsidRDefault="006D0C58">
      <w:pPr>
        <w:spacing w:before="60"/>
        <w:ind w:right="-6" w:firstLine="709"/>
        <w:jc w:val="center"/>
        <w:rPr>
          <w:b/>
          <w:sz w:val="28"/>
        </w:rPr>
      </w:pPr>
      <w:r>
        <w:rPr>
          <w:b/>
          <w:sz w:val="28"/>
        </w:rPr>
        <w:t>Анализ обоснованности расчета прогнозируемых налоговых и неналоговых доходов, изыскание резервов для наполнения доходной части бюджета Краснодарского края</w:t>
      </w:r>
    </w:p>
    <w:p w14:paraId="6D5D375B" w14:textId="77777777" w:rsidR="00735601" w:rsidRDefault="00735601">
      <w:pPr>
        <w:spacing w:before="60"/>
        <w:ind w:right="-6" w:firstLine="709"/>
        <w:jc w:val="center"/>
        <w:rPr>
          <w:sz w:val="28"/>
        </w:rPr>
      </w:pPr>
    </w:p>
    <w:p w14:paraId="2C219F03" w14:textId="77777777" w:rsidR="00735601" w:rsidRDefault="006D0C58">
      <w:pPr>
        <w:ind w:firstLine="709"/>
        <w:jc w:val="both"/>
        <w:rPr>
          <w:b/>
          <w:i/>
          <w:sz w:val="28"/>
        </w:rPr>
      </w:pPr>
      <w:r>
        <w:rPr>
          <w:b/>
          <w:sz w:val="28"/>
        </w:rPr>
        <w:t>1.</w:t>
      </w:r>
      <w:r>
        <w:rPr>
          <w:b/>
          <w:i/>
          <w:sz w:val="28"/>
        </w:rPr>
        <w:t xml:space="preserve"> </w:t>
      </w:r>
      <w:r>
        <w:rPr>
          <w:b/>
          <w:sz w:val="28"/>
        </w:rPr>
        <w:t>Анализ налоговых поступлений.</w:t>
      </w:r>
      <w:r>
        <w:rPr>
          <w:sz w:val="28"/>
        </w:rPr>
        <w:t xml:space="preserve"> Прогнозом предусмотрено поступление налоговых доходов в 2024 году в</w:t>
      </w:r>
      <w:r>
        <w:rPr>
          <w:sz w:val="28"/>
        </w:rPr>
        <w:t xml:space="preserve"> размере 391,2 млрд</w:t>
      </w:r>
      <w:r>
        <w:rPr>
          <w:color w:val="0070C0"/>
          <w:sz w:val="28"/>
        </w:rPr>
        <w:t xml:space="preserve"> </w:t>
      </w:r>
      <w:r>
        <w:rPr>
          <w:sz w:val="28"/>
        </w:rPr>
        <w:t>рублей</w:t>
      </w:r>
      <w:r>
        <w:rPr>
          <w:color w:val="0070C0"/>
          <w:sz w:val="28"/>
        </w:rPr>
        <w:t xml:space="preserve"> </w:t>
      </w:r>
      <w:r>
        <w:rPr>
          <w:i/>
        </w:rPr>
        <w:t>(прил. 2 к законопроекту)</w:t>
      </w:r>
      <w:r>
        <w:rPr>
          <w:sz w:val="28"/>
        </w:rPr>
        <w:t xml:space="preserve"> или +4,2 % к Оценке бюджета КК </w:t>
      </w:r>
      <w:r>
        <w:rPr>
          <w:i/>
        </w:rPr>
        <w:t>(+13,9 млрд рублей)</w:t>
      </w:r>
      <w:r>
        <w:rPr>
          <w:sz w:val="28"/>
        </w:rPr>
        <w:t xml:space="preserve">. Согласно информации Минфина КК прогноз ННД сформирован по данным ГАДБ, что соответствует положениям БК РФ. </w:t>
      </w:r>
    </w:p>
    <w:p w14:paraId="20DE00CC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1.1.</w:t>
      </w:r>
      <w:r>
        <w:rPr>
          <w:sz w:val="28"/>
        </w:rPr>
        <w:t xml:space="preserve"> </w:t>
      </w:r>
      <w:proofErr w:type="gramStart"/>
      <w:r>
        <w:rPr>
          <w:sz w:val="28"/>
        </w:rPr>
        <w:t>Согласно прогнозу</w:t>
      </w:r>
      <w:proofErr w:type="gramEnd"/>
      <w:r>
        <w:rPr>
          <w:sz w:val="28"/>
        </w:rPr>
        <w:t xml:space="preserve"> общий объем поступле</w:t>
      </w:r>
      <w:r>
        <w:rPr>
          <w:sz w:val="28"/>
        </w:rPr>
        <w:t xml:space="preserve">ний по </w:t>
      </w:r>
      <w:r>
        <w:rPr>
          <w:b/>
          <w:sz w:val="28"/>
        </w:rPr>
        <w:t>налогу на прибыль организаций</w:t>
      </w:r>
      <w:r>
        <w:rPr>
          <w:sz w:val="28"/>
        </w:rPr>
        <w:t xml:space="preserve"> в бюджет КК составит: </w:t>
      </w:r>
    </w:p>
    <w:tbl>
      <w:tblPr>
        <w:tblW w:w="0" w:type="auto"/>
        <w:tblInd w:w="93" w:type="dxa"/>
        <w:tblBorders>
          <w:top w:val="single" w:sz="2" w:space="0" w:color="4F81BD" w:themeColor="accent1"/>
          <w:left w:val="single" w:sz="2" w:space="0" w:color="4F81BD" w:themeColor="accent1"/>
          <w:bottom w:val="single" w:sz="2" w:space="0" w:color="4F81BD" w:themeColor="accent1"/>
          <w:right w:val="single" w:sz="2" w:space="0" w:color="4F81BD" w:themeColor="accent1"/>
          <w:insideH w:val="single" w:sz="2" w:space="0" w:color="4F81BD" w:themeColor="accent1"/>
          <w:insideV w:val="single" w:sz="2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3984"/>
        <w:gridCol w:w="1418"/>
        <w:gridCol w:w="1417"/>
        <w:gridCol w:w="1418"/>
        <w:gridCol w:w="1417"/>
      </w:tblGrid>
      <w:tr w:rsidR="00735601" w14:paraId="57E10156" w14:textId="77777777">
        <w:trPr>
          <w:trHeight w:val="255"/>
        </w:trPr>
        <w:tc>
          <w:tcPr>
            <w:tcW w:w="3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14941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436D4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2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8325E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14B7EEE1" w14:textId="77777777">
        <w:trPr>
          <w:trHeight w:val="255"/>
        </w:trPr>
        <w:tc>
          <w:tcPr>
            <w:tcW w:w="3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D1B21" w14:textId="77777777" w:rsidR="00735601" w:rsidRDefault="0073560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6A77E" w14:textId="77777777" w:rsidR="00735601" w:rsidRDefault="0073560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452D4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A88D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0D428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073523AD" w14:textId="77777777">
        <w:trPr>
          <w:trHeight w:val="65"/>
        </w:trPr>
        <w:tc>
          <w:tcPr>
            <w:tcW w:w="3984" w:type="dxa"/>
            <w:tcBorders>
              <w:top w:val="single" w:sz="6" w:space="0" w:color="000000"/>
              <w:left w:val="single" w:sz="2" w:space="0" w:color="4F81BD" w:themeColor="accent1"/>
              <w:bottom w:val="single" w:sz="2" w:space="0" w:color="4F81BD" w:themeColor="accent1"/>
              <w:right w:val="single" w:sz="2" w:space="0" w:color="4F81BD" w:themeColor="accen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3FA3D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3E17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121 470 697,0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D238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130 069 491,0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93D6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135 965 365,0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54AD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145 110 432,0</w:t>
            </w:r>
          </w:p>
        </w:tc>
      </w:tr>
      <w:tr w:rsidR="00735601" w14:paraId="3D8F9D58" w14:textId="77777777">
        <w:trPr>
          <w:trHeight w:val="121"/>
        </w:trPr>
        <w:tc>
          <w:tcPr>
            <w:tcW w:w="3984" w:type="dxa"/>
            <w:tcBorders>
              <w:top w:val="single" w:sz="2" w:space="0" w:color="4F81BD" w:themeColor="accent1"/>
              <w:left w:val="single" w:sz="2" w:space="0" w:color="4F81BD" w:themeColor="accent1"/>
              <w:bottom w:val="single" w:sz="2" w:space="0" w:color="4F81BD" w:themeColor="accent1"/>
              <w:right w:val="single" w:sz="2" w:space="0" w:color="4F81BD" w:themeColor="accen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66A35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налоговых доходах, %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53C3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31,1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4A07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31,0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DBB5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7FF72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30,3</w:t>
            </w:r>
          </w:p>
        </w:tc>
      </w:tr>
      <w:tr w:rsidR="00735601" w14:paraId="4571379A" w14:textId="77777777">
        <w:trPr>
          <w:trHeight w:val="65"/>
        </w:trPr>
        <w:tc>
          <w:tcPr>
            <w:tcW w:w="3984" w:type="dxa"/>
            <w:tcBorders>
              <w:top w:val="single" w:sz="2" w:space="0" w:color="4F81BD" w:themeColor="accent1"/>
              <w:left w:val="single" w:sz="2" w:space="0" w:color="4F81BD" w:themeColor="accent1"/>
              <w:bottom w:val="single" w:sz="2" w:space="0" w:color="4F81BD" w:themeColor="accent1"/>
              <w:right w:val="single" w:sz="2" w:space="0" w:color="4F81BD" w:themeColor="accen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40625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C96B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-17 976 270,5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F3CE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8 598 794,0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5F5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5 895 874,0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C55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9 145 067,0</w:t>
            </w:r>
          </w:p>
        </w:tc>
      </w:tr>
      <w:tr w:rsidR="00735601" w14:paraId="13EC89F6" w14:textId="77777777">
        <w:trPr>
          <w:trHeight w:val="65"/>
        </w:trPr>
        <w:tc>
          <w:tcPr>
            <w:tcW w:w="3984" w:type="dxa"/>
            <w:tcBorders>
              <w:top w:val="single" w:sz="2" w:space="0" w:color="4F81BD" w:themeColor="accent1"/>
              <w:left w:val="single" w:sz="2" w:space="0" w:color="4F81BD" w:themeColor="accent1"/>
              <w:bottom w:val="single" w:sz="2" w:space="0" w:color="4F81BD" w:themeColor="accent1"/>
              <w:right w:val="single" w:sz="2" w:space="0" w:color="4F81BD" w:themeColor="accen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EF41A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452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87,1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52D2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107,1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31E2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104,5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8428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106,7</w:t>
            </w:r>
          </w:p>
        </w:tc>
      </w:tr>
    </w:tbl>
    <w:p w14:paraId="74756B45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Расхождений с данными ГАДБ – УФНС России по КК</w:t>
      </w:r>
      <w:r>
        <w:rPr>
          <w:sz w:val="28"/>
          <w:vertAlign w:val="superscript"/>
        </w:rPr>
        <w:footnoteReference w:id="1"/>
      </w:r>
      <w:r>
        <w:rPr>
          <w:sz w:val="28"/>
        </w:rPr>
        <w:t xml:space="preserve"> (далее – УФНС) не установлено. </w:t>
      </w:r>
    </w:p>
    <w:p w14:paraId="57A12C27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Согласно пояснениям Минфина КК прогноз доходов по налогу на прибыль организаций сформирован с учетом динамики налоговой базы исходя из показателей Прогноза СЭР края на долгосрочный период </w:t>
      </w:r>
      <w:r>
        <w:rPr>
          <w:i/>
        </w:rPr>
        <w:t>(прибыли прибыльных организаций)</w:t>
      </w:r>
      <w:r>
        <w:rPr>
          <w:sz w:val="28"/>
        </w:rPr>
        <w:t>, а также прекращения с 01.01.2026 с</w:t>
      </w:r>
      <w:r>
        <w:rPr>
          <w:sz w:val="28"/>
        </w:rPr>
        <w:t>рока действия особого порядка распределения в бюджеты субъектов РФ доходов от налога на прибыль организаций, уплаченного налогоплательщиками, которые до 1 января 2023 года являлись участниками консолидированной группы. Однако используемые в расчете Минфина</w:t>
      </w:r>
      <w:r>
        <w:rPr>
          <w:sz w:val="28"/>
        </w:rPr>
        <w:t xml:space="preserve"> КК показатели не в полной мере соответствуют показателям прогноза СЭР на 2025 год и плановый период 2026–2027 годов по состоянию на 31.10.2024, представленного одновременно с законопроектом</w:t>
      </w:r>
      <w:r>
        <w:rPr>
          <w:i/>
        </w:rPr>
        <w:t xml:space="preserve"> </w:t>
      </w:r>
      <w:r>
        <w:rPr>
          <w:sz w:val="28"/>
        </w:rPr>
        <w:t>(далее – актуальный Прогноз СЭР).</w:t>
      </w:r>
    </w:p>
    <w:p w14:paraId="5D27B832" w14:textId="77777777" w:rsidR="00735601" w:rsidRDefault="006D0C58">
      <w:pPr>
        <w:ind w:firstLine="709"/>
        <w:jc w:val="both"/>
        <w:rPr>
          <w:color w:val="FF0000"/>
          <w:sz w:val="28"/>
        </w:rPr>
      </w:pPr>
      <w:r>
        <w:rPr>
          <w:sz w:val="28"/>
        </w:rPr>
        <w:t>В частности, ВРП края, указанны</w:t>
      </w:r>
      <w:r>
        <w:rPr>
          <w:sz w:val="28"/>
        </w:rPr>
        <w:t xml:space="preserve">й в расчете Минфина КК, составит в 2024 году – 5 446 000,0 млн рублей, в 2025 – 5 933 000,0 млн рублей, в 2026 – 6 408 500,0 млн рублей и в 2027 – 6 916 100,0 млн рублей </w:t>
      </w:r>
      <w:r>
        <w:rPr>
          <w:i/>
        </w:rPr>
        <w:t>(динамика показателя в 2024 – 110,7 %, в 2025 – 108,9 %, в 2026 – 108,0 %, в 2027 – 10</w:t>
      </w:r>
      <w:r>
        <w:rPr>
          <w:i/>
        </w:rPr>
        <w:t>7,9 %)</w:t>
      </w:r>
      <w:r>
        <w:rPr>
          <w:sz w:val="28"/>
        </w:rPr>
        <w:t xml:space="preserve">. В то же время по данным актуального Прогноза СЭР в 2023 году ВРП составил 4 917 500,0 млн рублей, в 2024 прогнозируется в объеме 5 536 900,0 млн рублей </w:t>
      </w:r>
      <w:r>
        <w:rPr>
          <w:i/>
        </w:rPr>
        <w:t>(112,6 % к предшествующему периоду)</w:t>
      </w:r>
      <w:r>
        <w:rPr>
          <w:sz w:val="28"/>
        </w:rPr>
        <w:t xml:space="preserve">, в 2025 – 6 088 900,0 млн рублей </w:t>
      </w:r>
      <w:r>
        <w:rPr>
          <w:i/>
        </w:rPr>
        <w:t>(109,9 %)</w:t>
      </w:r>
      <w:r>
        <w:rPr>
          <w:sz w:val="28"/>
        </w:rPr>
        <w:t>, в 2026 – 6 574 5</w:t>
      </w:r>
      <w:r>
        <w:rPr>
          <w:sz w:val="28"/>
        </w:rPr>
        <w:t xml:space="preserve">00,0 млн рублей </w:t>
      </w:r>
      <w:r>
        <w:rPr>
          <w:i/>
        </w:rPr>
        <w:t>(107,9 %)</w:t>
      </w:r>
      <w:r>
        <w:rPr>
          <w:sz w:val="28"/>
        </w:rPr>
        <w:t xml:space="preserve"> и в 2027 – 7 099 900,0 млн рублей </w:t>
      </w:r>
      <w:r>
        <w:rPr>
          <w:i/>
        </w:rPr>
        <w:t>(107,9 %)</w:t>
      </w:r>
      <w:r>
        <w:rPr>
          <w:sz w:val="28"/>
        </w:rPr>
        <w:t xml:space="preserve">. </w:t>
      </w:r>
    </w:p>
    <w:p w14:paraId="57D242CF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Прибыль прибыльных организаций по расчету Минфина КК составит в 2024 году 1 081 634,2 млн рублей</w:t>
      </w:r>
      <w:r>
        <w:rPr>
          <w:i/>
        </w:rPr>
        <w:t xml:space="preserve"> (101,0 % к предшествующему периоду)</w:t>
      </w:r>
      <w:r>
        <w:rPr>
          <w:sz w:val="28"/>
        </w:rPr>
        <w:t xml:space="preserve">, в 2025 – 1 164 920,0 млн </w:t>
      </w:r>
      <w:r>
        <w:rPr>
          <w:i/>
          <w:sz w:val="28"/>
        </w:rPr>
        <w:t>(</w:t>
      </w:r>
      <w:r>
        <w:rPr>
          <w:i/>
        </w:rPr>
        <w:t>107,7 %)</w:t>
      </w:r>
      <w:r>
        <w:rPr>
          <w:i/>
          <w:sz w:val="28"/>
        </w:rPr>
        <w:t>,</w:t>
      </w:r>
      <w:r>
        <w:rPr>
          <w:sz w:val="28"/>
        </w:rPr>
        <w:t xml:space="preserve"> в 2026 – 1 234</w:t>
      </w:r>
      <w:r>
        <w:rPr>
          <w:sz w:val="28"/>
        </w:rPr>
        <w:t xml:space="preserve"> 815,2 млн рублей </w:t>
      </w:r>
      <w:r>
        <w:rPr>
          <w:i/>
        </w:rPr>
        <w:t>(106,0 %)</w:t>
      </w:r>
      <w:r>
        <w:rPr>
          <w:sz w:val="28"/>
        </w:rPr>
        <w:t xml:space="preserve"> и в 2027 – </w:t>
      </w:r>
      <w:r>
        <w:rPr>
          <w:sz w:val="28"/>
        </w:rPr>
        <w:lastRenderedPageBreak/>
        <w:t xml:space="preserve">1 321 252,3 млн рублей </w:t>
      </w:r>
      <w:r>
        <w:rPr>
          <w:i/>
        </w:rPr>
        <w:t>(107,0 %)</w:t>
      </w:r>
      <w:r>
        <w:rPr>
          <w:sz w:val="28"/>
        </w:rPr>
        <w:t xml:space="preserve">. По данным актуального Прогноза СЭР прибыль прибыльных организаций в 2023 составила 1 062 419,9 млн рублей, в 2024 прогнозируется в размере 1 081 000,0 млн рублей </w:t>
      </w:r>
      <w:r>
        <w:rPr>
          <w:i/>
        </w:rPr>
        <w:t>(101,7 %)</w:t>
      </w:r>
      <w:r>
        <w:rPr>
          <w:sz w:val="28"/>
        </w:rPr>
        <w:t>, в 2025 – 1</w:t>
      </w:r>
      <w:r>
        <w:rPr>
          <w:sz w:val="28"/>
        </w:rPr>
        <w:t xml:space="preserve"> 164 000,0 млн рублей </w:t>
      </w:r>
      <w:r>
        <w:rPr>
          <w:i/>
        </w:rPr>
        <w:t>(107,7 %)</w:t>
      </w:r>
      <w:r>
        <w:rPr>
          <w:sz w:val="28"/>
        </w:rPr>
        <w:t xml:space="preserve">, в 2026 – 1 234 000,0 млн рублей </w:t>
      </w:r>
      <w:r>
        <w:rPr>
          <w:i/>
        </w:rPr>
        <w:t>(106,0 %)</w:t>
      </w:r>
      <w:r>
        <w:rPr>
          <w:sz w:val="28"/>
        </w:rPr>
        <w:t xml:space="preserve">, в 2027 – 1 321 000,0 млн рублей </w:t>
      </w:r>
      <w:r>
        <w:rPr>
          <w:i/>
        </w:rPr>
        <w:t>(107,0 %)</w:t>
      </w:r>
      <w:r>
        <w:rPr>
          <w:sz w:val="28"/>
        </w:rPr>
        <w:t xml:space="preserve">. </w:t>
      </w:r>
    </w:p>
    <w:p w14:paraId="3859E793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По мнению специалистов КСП КК поступления в краевой бюджет</w:t>
      </w:r>
      <w:r>
        <w:rPr>
          <w:sz w:val="28"/>
        </w:rPr>
        <w:br/>
        <w:t>в 2024–2027 годах не превысят ожидаемые поступления Минфина КК.</w:t>
      </w:r>
    </w:p>
    <w:p w14:paraId="6C15CD37" w14:textId="77777777" w:rsidR="00735601" w:rsidRDefault="006D0C58">
      <w:pPr>
        <w:ind w:firstLine="709"/>
        <w:jc w:val="both"/>
        <w:rPr>
          <w:i/>
        </w:rPr>
      </w:pPr>
      <w:r>
        <w:rPr>
          <w:sz w:val="28"/>
        </w:rPr>
        <w:t>Так, в заключ</w:t>
      </w:r>
      <w:r>
        <w:rPr>
          <w:sz w:val="28"/>
        </w:rPr>
        <w:t>ении на проект закона «</w:t>
      </w:r>
      <w:r>
        <w:rPr>
          <w:i/>
        </w:rPr>
        <w:t>О внесении изменений в Закон КК «О бюджете Краснодарского края на 2024 и на плановый период 2025 и 2026 годов</w:t>
      </w:r>
      <w:r>
        <w:rPr>
          <w:sz w:val="28"/>
        </w:rPr>
        <w:t>» от 14.10.2024 (далее – Заключение от 14.10.2024) специалистами КСП</w:t>
      </w:r>
      <w:r>
        <w:t> </w:t>
      </w:r>
      <w:r>
        <w:rPr>
          <w:sz w:val="28"/>
        </w:rPr>
        <w:t xml:space="preserve">КК указывалось, что </w:t>
      </w:r>
      <w:r>
        <w:rPr>
          <w:b/>
          <w:sz w:val="28"/>
        </w:rPr>
        <w:t>ожидаемые</w:t>
      </w:r>
      <w:r>
        <w:rPr>
          <w:sz w:val="28"/>
        </w:rPr>
        <w:t xml:space="preserve"> поступления по налогу на </w:t>
      </w:r>
      <w:r>
        <w:rPr>
          <w:sz w:val="28"/>
        </w:rPr>
        <w:t xml:space="preserve">прибыль организаций </w:t>
      </w:r>
      <w:r>
        <w:rPr>
          <w:b/>
          <w:sz w:val="28"/>
        </w:rPr>
        <w:t>в 2024 году могут составить 116 717 111,4 тыс. рублей</w:t>
      </w:r>
      <w:r>
        <w:rPr>
          <w:sz w:val="28"/>
        </w:rPr>
        <w:t>, что на </w:t>
      </w:r>
      <w:r>
        <w:rPr>
          <w:b/>
          <w:sz w:val="28"/>
        </w:rPr>
        <w:t>4 753 585,6 тыс. рублей</w:t>
      </w:r>
      <w:r>
        <w:rPr>
          <w:sz w:val="28"/>
        </w:rPr>
        <w:t xml:space="preserve"> </w:t>
      </w:r>
      <w:r>
        <w:rPr>
          <w:b/>
          <w:sz w:val="28"/>
        </w:rPr>
        <w:t>меньше</w:t>
      </w:r>
      <w:r>
        <w:rPr>
          <w:sz w:val="28"/>
        </w:rPr>
        <w:t xml:space="preserve"> ожидаемых поступлений Минфина КК </w:t>
      </w:r>
      <w:r>
        <w:rPr>
          <w:i/>
        </w:rPr>
        <w:t>(121 470 697,0 тыс. рублей -116 717 111,4 тыс. рублей).</w:t>
      </w:r>
    </w:p>
    <w:p w14:paraId="1B6E9684" w14:textId="77777777" w:rsidR="00735601" w:rsidRDefault="006D0C58">
      <w:pPr>
        <w:ind w:firstLine="737"/>
        <w:jc w:val="both"/>
        <w:rPr>
          <w:i/>
        </w:rPr>
      </w:pPr>
      <w:r>
        <w:rPr>
          <w:sz w:val="28"/>
        </w:rPr>
        <w:t>По оценке специалистов КСП КК с учетом ожидаемых посту</w:t>
      </w:r>
      <w:r>
        <w:rPr>
          <w:sz w:val="28"/>
        </w:rPr>
        <w:t>плений по налогу в 2024 году, динамики роста прибыли прибыльных организаций</w:t>
      </w:r>
      <w:r>
        <w:rPr>
          <w:sz w:val="28"/>
        </w:rPr>
        <w:br/>
        <w:t xml:space="preserve">в 2025–2027 годах </w:t>
      </w:r>
      <w:r>
        <w:rPr>
          <w:i/>
        </w:rPr>
        <w:t>(согласно актуальному Прогнозу СЭР в 2025 году – 107,7 %,</w:t>
      </w:r>
      <w:r>
        <w:rPr>
          <w:i/>
          <w:color w:val="0000FF"/>
        </w:rPr>
        <w:t xml:space="preserve"> </w:t>
      </w:r>
      <w:r>
        <w:rPr>
          <w:i/>
        </w:rPr>
        <w:t>в 2026 – 106,0 %, в 2027 – 107,0 %)</w:t>
      </w:r>
      <w:r>
        <w:t xml:space="preserve">, </w:t>
      </w:r>
      <w:r>
        <w:rPr>
          <w:sz w:val="28"/>
        </w:rPr>
        <w:t xml:space="preserve">планируемых объемов налоговых расходов КК по налогу на прибыль организаций </w:t>
      </w:r>
      <w:r>
        <w:rPr>
          <w:i/>
        </w:rPr>
        <w:t>(в 2025 году – 1 686 270,0 тыс. рублей, в 2026 – 1 579 479,0 тыс. рублей, в 2027 – 1 579 479,0</w:t>
      </w:r>
      <w:r>
        <w:rPr>
          <w:i/>
          <w:sz w:val="28"/>
        </w:rPr>
        <w:t> </w:t>
      </w:r>
      <w:r>
        <w:rPr>
          <w:i/>
        </w:rPr>
        <w:t>тыс.</w:t>
      </w:r>
      <w:r>
        <w:rPr>
          <w:i/>
          <w:sz w:val="28"/>
        </w:rPr>
        <w:t> </w:t>
      </w:r>
      <w:r>
        <w:rPr>
          <w:i/>
        </w:rPr>
        <w:t>рублей)</w:t>
      </w:r>
      <w:r>
        <w:rPr>
          <w:sz w:val="28"/>
        </w:rPr>
        <w:t xml:space="preserve">, по мнению специалистов Палаты </w:t>
      </w:r>
      <w:r>
        <w:rPr>
          <w:b/>
          <w:sz w:val="28"/>
        </w:rPr>
        <w:t xml:space="preserve">прогнозный объем поступлений по налогу на </w:t>
      </w:r>
      <w:r>
        <w:rPr>
          <w:b/>
          <w:sz w:val="28"/>
        </w:rPr>
        <w:t>прибыль организаций в 2025 году составит 124 102 373,0</w:t>
      </w:r>
      <w:r>
        <w:rPr>
          <w:sz w:val="28"/>
        </w:rPr>
        <w:t> </w:t>
      </w:r>
      <w:r>
        <w:rPr>
          <w:b/>
          <w:sz w:val="28"/>
        </w:rPr>
        <w:t xml:space="preserve">тыс. рублей </w:t>
      </w:r>
      <w:r>
        <w:rPr>
          <w:i/>
        </w:rPr>
        <w:t>(116 717 111,4 тыс. рублей*107,7 % –1 686 270,0 тыс. рублей*95%)</w:t>
      </w:r>
      <w:r>
        <w:rPr>
          <w:sz w:val="28"/>
        </w:rPr>
        <w:t>,</w:t>
      </w:r>
      <w:r>
        <w:rPr>
          <w:i/>
        </w:rPr>
        <w:t xml:space="preserve"> </w:t>
      </w:r>
      <w:r>
        <w:rPr>
          <w:b/>
          <w:sz w:val="28"/>
        </w:rPr>
        <w:t>что на 5 967 118,0 тыс. рублей меньше бюджетных назначений, предусмотренных законопроектом</w:t>
      </w:r>
      <w:r>
        <w:rPr>
          <w:sz w:val="28"/>
        </w:rPr>
        <w:t xml:space="preserve"> </w:t>
      </w:r>
      <w:r>
        <w:rPr>
          <w:i/>
        </w:rPr>
        <w:t>(130 069 491,0 тыс. рублей).</w:t>
      </w:r>
    </w:p>
    <w:p w14:paraId="7C911034" w14:textId="77777777" w:rsidR="00735601" w:rsidRDefault="006D0C58">
      <w:pPr>
        <w:ind w:firstLine="709"/>
        <w:jc w:val="both"/>
        <w:rPr>
          <w:color w:val="0000FF"/>
          <w:sz w:val="28"/>
        </w:rPr>
      </w:pPr>
      <w:r>
        <w:rPr>
          <w:b/>
          <w:sz w:val="28"/>
        </w:rPr>
        <w:t xml:space="preserve">На </w:t>
      </w:r>
      <w:r>
        <w:rPr>
          <w:b/>
          <w:sz w:val="28"/>
        </w:rPr>
        <w:t>2026 год</w:t>
      </w:r>
      <w:r>
        <w:rPr>
          <w:sz w:val="28"/>
        </w:rPr>
        <w:t xml:space="preserve"> объем поступлений составит </w:t>
      </w:r>
      <w:r>
        <w:rPr>
          <w:b/>
          <w:sz w:val="28"/>
        </w:rPr>
        <w:t>130 048 010,0</w:t>
      </w:r>
      <w:r>
        <w:rPr>
          <w:sz w:val="28"/>
        </w:rPr>
        <w:t xml:space="preserve"> </w:t>
      </w:r>
      <w:r>
        <w:rPr>
          <w:b/>
          <w:sz w:val="28"/>
        </w:rPr>
        <w:t>тыс. рублей</w:t>
      </w:r>
      <w:r>
        <w:rPr>
          <w:sz w:val="28"/>
        </w:rPr>
        <w:t xml:space="preserve"> </w:t>
      </w:r>
      <w:r>
        <w:rPr>
          <w:i/>
        </w:rPr>
        <w:t>(124 102 373,0 тыс. рублей*106,0% – 1 579 479,0 тыс. рублей*95%)</w:t>
      </w:r>
      <w:r>
        <w:rPr>
          <w:sz w:val="28"/>
        </w:rPr>
        <w:t xml:space="preserve">, что </w:t>
      </w:r>
      <w:r>
        <w:rPr>
          <w:b/>
          <w:sz w:val="28"/>
        </w:rPr>
        <w:t>ниже суммы, указанной в расчете</w:t>
      </w:r>
      <w:r>
        <w:rPr>
          <w:sz w:val="28"/>
        </w:rPr>
        <w:t xml:space="preserve"> прогнозируемых доходов по налогу на прибыль организаций </w:t>
      </w:r>
      <w:r>
        <w:rPr>
          <w:i/>
        </w:rPr>
        <w:t>(135 965 365,0 тыс. рублей)</w:t>
      </w:r>
      <w:r>
        <w:rPr>
          <w:sz w:val="26"/>
        </w:rPr>
        <w:t xml:space="preserve">, </w:t>
      </w:r>
      <w:r>
        <w:rPr>
          <w:b/>
          <w:sz w:val="28"/>
        </w:rPr>
        <w:t>на 5 91</w:t>
      </w:r>
      <w:r>
        <w:rPr>
          <w:b/>
          <w:sz w:val="28"/>
        </w:rPr>
        <w:t>7 355,0 тыс. рублей</w:t>
      </w:r>
      <w:r>
        <w:rPr>
          <w:sz w:val="28"/>
        </w:rPr>
        <w:t>.</w:t>
      </w:r>
    </w:p>
    <w:p w14:paraId="64279B51" w14:textId="77777777" w:rsidR="00735601" w:rsidRDefault="006D0C58">
      <w:pPr>
        <w:ind w:firstLine="709"/>
        <w:jc w:val="both"/>
        <w:rPr>
          <w:i/>
          <w:color w:val="0000FF"/>
        </w:rPr>
      </w:pPr>
      <w:r>
        <w:rPr>
          <w:b/>
          <w:sz w:val="28"/>
        </w:rPr>
        <w:t>На 2027 год</w:t>
      </w:r>
      <w:r>
        <w:rPr>
          <w:sz w:val="28"/>
        </w:rPr>
        <w:t xml:space="preserve"> объем поступлений составит </w:t>
      </w:r>
      <w:r>
        <w:rPr>
          <w:b/>
          <w:sz w:val="28"/>
        </w:rPr>
        <w:t>137 780 914,0</w:t>
      </w:r>
      <w:r>
        <w:rPr>
          <w:sz w:val="28"/>
        </w:rPr>
        <w:t xml:space="preserve"> </w:t>
      </w:r>
      <w:r>
        <w:rPr>
          <w:b/>
          <w:sz w:val="28"/>
        </w:rPr>
        <w:t>тыс. рублей</w:t>
      </w:r>
      <w:r>
        <w:rPr>
          <w:sz w:val="28"/>
        </w:rPr>
        <w:t xml:space="preserve"> </w:t>
      </w:r>
      <w:r>
        <w:rPr>
          <w:i/>
        </w:rPr>
        <w:t>(130 048 010,0</w:t>
      </w:r>
      <w:r>
        <w:rPr>
          <w:b/>
        </w:rPr>
        <w:t xml:space="preserve"> </w:t>
      </w:r>
      <w:r>
        <w:rPr>
          <w:i/>
        </w:rPr>
        <w:t>тыс. рублей*107,1%-1 579 479,</w:t>
      </w:r>
      <w:proofErr w:type="gramStart"/>
      <w:r>
        <w:rPr>
          <w:i/>
        </w:rPr>
        <w:t>0  тыс.</w:t>
      </w:r>
      <w:proofErr w:type="gramEnd"/>
      <w:r>
        <w:rPr>
          <w:i/>
        </w:rPr>
        <w:t> рублей*95%)</w:t>
      </w:r>
      <w:r>
        <w:rPr>
          <w:sz w:val="28"/>
        </w:rPr>
        <w:t xml:space="preserve">, </w:t>
      </w:r>
      <w:r>
        <w:rPr>
          <w:b/>
          <w:sz w:val="28"/>
        </w:rPr>
        <w:t>что по сравнению с расчетом</w:t>
      </w:r>
      <w:r>
        <w:rPr>
          <w:sz w:val="28"/>
        </w:rPr>
        <w:t xml:space="preserve"> </w:t>
      </w:r>
      <w:r>
        <w:rPr>
          <w:b/>
          <w:sz w:val="28"/>
        </w:rPr>
        <w:t>к законопроекту</w:t>
      </w:r>
      <w:r>
        <w:rPr>
          <w:sz w:val="28"/>
        </w:rPr>
        <w:t xml:space="preserve"> </w:t>
      </w:r>
      <w:r>
        <w:rPr>
          <w:i/>
        </w:rPr>
        <w:t>(145 110 432,0 тыс. рублей)</w:t>
      </w:r>
      <w:r>
        <w:rPr>
          <w:b/>
          <w:sz w:val="28"/>
        </w:rPr>
        <w:t xml:space="preserve"> меньше</w:t>
      </w:r>
      <w:r>
        <w:rPr>
          <w:sz w:val="26"/>
        </w:rPr>
        <w:t xml:space="preserve"> </w:t>
      </w:r>
      <w:r>
        <w:rPr>
          <w:b/>
          <w:sz w:val="28"/>
        </w:rPr>
        <w:t>на 7 329 518,0 тыс. рублей</w:t>
      </w:r>
      <w:r>
        <w:rPr>
          <w:sz w:val="28"/>
        </w:rPr>
        <w:t>.</w:t>
      </w:r>
    </w:p>
    <w:p w14:paraId="5E7E5927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1.2.</w:t>
      </w:r>
      <w:r>
        <w:rPr>
          <w:sz w:val="28"/>
        </w:rPr>
        <w:t xml:space="preserve"> Объем доходов по </w:t>
      </w:r>
      <w:r>
        <w:rPr>
          <w:b/>
          <w:sz w:val="28"/>
        </w:rPr>
        <w:t>налогу</w:t>
      </w:r>
      <w:r>
        <w:rPr>
          <w:sz w:val="28"/>
        </w:rPr>
        <w:t xml:space="preserve"> </w:t>
      </w:r>
      <w:r>
        <w:rPr>
          <w:b/>
          <w:sz w:val="28"/>
        </w:rPr>
        <w:t>на доходы физических лиц</w:t>
      </w:r>
      <w:r>
        <w:rPr>
          <w:sz w:val="28"/>
        </w:rPr>
        <w:t xml:space="preserve"> (далее также – НДФЛ) составит: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687"/>
        <w:gridCol w:w="1536"/>
        <w:gridCol w:w="1581"/>
        <w:gridCol w:w="1612"/>
      </w:tblGrid>
      <w:tr w:rsidR="00735601" w14:paraId="14B0A1AF" w14:textId="77777777">
        <w:trPr>
          <w:trHeight w:val="300"/>
        </w:trPr>
        <w:tc>
          <w:tcPr>
            <w:tcW w:w="33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F0822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7C776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BBBCE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3BB4EBC9" w14:textId="77777777">
        <w:trPr>
          <w:trHeight w:val="300"/>
        </w:trPr>
        <w:tc>
          <w:tcPr>
            <w:tcW w:w="33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773DD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4D575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D99C3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0806C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B53A7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31298AAA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647C0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B606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125 519 614,0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E061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131 388 143,0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D774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142 808 217,0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6AD0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154 179 086,0</w:t>
            </w:r>
          </w:p>
        </w:tc>
      </w:tr>
      <w:tr w:rsidR="00735601" w14:paraId="4BC1F823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97C6B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 xml:space="preserve">доля в </w:t>
            </w:r>
            <w:r>
              <w:rPr>
                <w:sz w:val="20"/>
              </w:rPr>
              <w:t>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6D47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32,1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27B0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31,4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920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32,0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A6E2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32,2</w:t>
            </w:r>
          </w:p>
        </w:tc>
      </w:tr>
      <w:tr w:rsidR="00735601" w14:paraId="1134883F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92251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661D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26 949 922,3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EB2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5 868 529,0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097D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11 420 074,0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E3C8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11 370 869,0</w:t>
            </w:r>
          </w:p>
        </w:tc>
      </w:tr>
      <w:tr w:rsidR="00735601" w14:paraId="6781117B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B88C5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A3A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127,3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5902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104,7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797C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108,7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5CFC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108,0</w:t>
            </w:r>
          </w:p>
        </w:tc>
      </w:tr>
    </w:tbl>
    <w:p w14:paraId="5D88961D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Расхождений с прогнозом УФНС не установлено. </w:t>
      </w:r>
    </w:p>
    <w:p w14:paraId="5BF3CF18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В результате анализа обоснованности расчета прогнозируемых доходов по НДФЛ, представленных Минфином КК, установлено, что в строках 1.4, 1.6, 7.5, 8.5 расчета значения коэффициента, характеризующего динамику фон</w:t>
      </w:r>
      <w:r>
        <w:rPr>
          <w:sz w:val="28"/>
        </w:rPr>
        <w:t xml:space="preserve">да </w:t>
      </w:r>
      <w:r>
        <w:rPr>
          <w:sz w:val="28"/>
        </w:rPr>
        <w:lastRenderedPageBreak/>
        <w:t>заработной платы</w:t>
      </w:r>
      <w:r>
        <w:rPr>
          <w:sz w:val="28"/>
          <w:vertAlign w:val="superscript"/>
        </w:rPr>
        <w:footnoteReference w:id="2"/>
      </w:r>
      <w:r>
        <w:rPr>
          <w:sz w:val="28"/>
        </w:rPr>
        <w:t>, и темпа роста показателя прибыли прибыльных предприятий</w:t>
      </w:r>
      <w:r>
        <w:rPr>
          <w:sz w:val="28"/>
          <w:vertAlign w:val="superscript"/>
        </w:rPr>
        <w:footnoteReference w:id="3"/>
      </w:r>
      <w:r>
        <w:rPr>
          <w:sz w:val="28"/>
        </w:rPr>
        <w:t>, не в полной мере соответствует</w:t>
      </w:r>
      <w:r>
        <w:rPr>
          <w:i/>
        </w:rPr>
        <w:t xml:space="preserve"> </w:t>
      </w:r>
      <w:r>
        <w:rPr>
          <w:sz w:val="28"/>
        </w:rPr>
        <w:t xml:space="preserve">актуальному Прогнозу СЭР. </w:t>
      </w:r>
    </w:p>
    <w:p w14:paraId="335CAF86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Исходя из алгоритма расчета, использованного в расчете прогнозных доходов по НДФЛ, с применением значений вышеназван</w:t>
      </w:r>
      <w:r>
        <w:rPr>
          <w:sz w:val="28"/>
        </w:rPr>
        <w:t>ных показателей, соответствующих актуальному Прогнозу СЭР, ожидаемые расчетные поступления НДФЛ в бюджет КК в 2024 году составят 127 541 052,0 тыс. рублей</w:t>
      </w:r>
      <w:r>
        <w:rPr>
          <w:i/>
        </w:rPr>
        <w:t xml:space="preserve"> (что превышает оценку Минфина КК на 2 021 438,0 тыс. рублей)</w:t>
      </w:r>
      <w:r>
        <w:rPr>
          <w:sz w:val="28"/>
        </w:rPr>
        <w:t>, прогноз поступлений на 2025 год состави</w:t>
      </w:r>
      <w:r>
        <w:rPr>
          <w:sz w:val="28"/>
        </w:rPr>
        <w:t>т 137 696 082,0 тыс. рублей, на 2026 – 152 162 851,0 тыс. рублей, на 2027 – 164 356 491,0 тыс. рублей</w:t>
      </w:r>
      <w:r>
        <w:rPr>
          <w:b/>
        </w:rPr>
        <w:t xml:space="preserve"> </w:t>
      </w:r>
      <w:r>
        <w:rPr>
          <w:i/>
        </w:rPr>
        <w:t>(что превышает прогноз Минфина КК соответственно, в 2025 – на 6 307 939,0 тыс. рублей, в 2026 – на 9 354 634,0 тыс. рублей, в 2027 – на 10 177 405,0 тыс. </w:t>
      </w:r>
      <w:r>
        <w:rPr>
          <w:i/>
        </w:rPr>
        <w:t>рублей)</w:t>
      </w:r>
      <w:r>
        <w:rPr>
          <w:sz w:val="28"/>
        </w:rPr>
        <w:t>.</w:t>
      </w:r>
    </w:p>
    <w:p w14:paraId="05C67F6D" w14:textId="77777777" w:rsidR="00735601" w:rsidRDefault="006D0C58">
      <w:pPr>
        <w:widowControl w:val="0"/>
        <w:ind w:right="28" w:firstLine="709"/>
        <w:jc w:val="both"/>
        <w:rPr>
          <w:sz w:val="28"/>
        </w:rPr>
      </w:pPr>
      <w:r>
        <w:rPr>
          <w:sz w:val="28"/>
        </w:rPr>
        <w:t>В то же время обращает внимание, что в представленном Минфином КК расчете прогнозных доходов НДФЛ рассчитан для доходов до 5 и свыше 5 млн рублей</w:t>
      </w:r>
      <w:r>
        <w:rPr>
          <w:i/>
        </w:rPr>
        <w:t xml:space="preserve"> (строки 5, 7, 8 расчета)</w:t>
      </w:r>
      <w:r>
        <w:rPr>
          <w:sz w:val="28"/>
        </w:rPr>
        <w:t xml:space="preserve">. Однако в использованном в расчете алгоритме </w:t>
      </w:r>
      <w:r>
        <w:rPr>
          <w:b/>
          <w:sz w:val="28"/>
        </w:rPr>
        <w:t>не нашли отражение</w:t>
      </w:r>
      <w:r>
        <w:rPr>
          <w:sz w:val="28"/>
        </w:rPr>
        <w:t xml:space="preserve"> показатели, связанные со вступающими в силу с 01.01.2025 изменениями в налоговое</w:t>
      </w:r>
      <w:r>
        <w:rPr>
          <w:sz w:val="28"/>
          <w:vertAlign w:val="superscript"/>
        </w:rPr>
        <w:footnoteReference w:id="4"/>
      </w:r>
      <w:r>
        <w:rPr>
          <w:sz w:val="28"/>
        </w:rPr>
        <w:t xml:space="preserve"> и бюджетное законодательство</w:t>
      </w:r>
      <w:r>
        <w:rPr>
          <w:sz w:val="28"/>
          <w:vertAlign w:val="superscript"/>
        </w:rPr>
        <w:footnoteReference w:id="5"/>
      </w:r>
      <w:r>
        <w:rPr>
          <w:sz w:val="28"/>
        </w:rPr>
        <w:t>, которые устанавливают шкалу прогрессивных налоговых ставок по НДФЛ</w:t>
      </w:r>
      <w:r>
        <w:rPr>
          <w:sz w:val="28"/>
          <w:vertAlign w:val="superscript"/>
        </w:rPr>
        <w:footnoteReference w:id="6"/>
      </w:r>
      <w:r>
        <w:rPr>
          <w:sz w:val="28"/>
        </w:rPr>
        <w:t xml:space="preserve"> и связанные с этим нормативы отчислений в бюджет соответствующего уровн</w:t>
      </w:r>
      <w:r>
        <w:rPr>
          <w:sz w:val="28"/>
        </w:rPr>
        <w:t xml:space="preserve">я. </w:t>
      </w:r>
    </w:p>
    <w:p w14:paraId="2B13209C" w14:textId="77777777" w:rsidR="00735601" w:rsidRDefault="006D0C58">
      <w:pPr>
        <w:widowControl w:val="0"/>
        <w:ind w:right="28" w:firstLine="709"/>
        <w:jc w:val="both"/>
        <w:rPr>
          <w:sz w:val="28"/>
        </w:rPr>
      </w:pPr>
      <w:r>
        <w:rPr>
          <w:sz w:val="28"/>
        </w:rPr>
        <w:t>Также</w:t>
      </w:r>
      <w:r>
        <w:rPr>
          <w:b/>
          <w:sz w:val="28"/>
        </w:rPr>
        <w:t xml:space="preserve"> не учтены</w:t>
      </w:r>
      <w:r>
        <w:rPr>
          <w:sz w:val="28"/>
        </w:rPr>
        <w:t xml:space="preserve"> в расчете планируемые изменения, вносимые в краевое законодательство, которые влияют на поступление НДФЛ в бюджет КК. В частности, ЗСК принят в первом чтении проект Закона КК «</w:t>
      </w:r>
      <w:r>
        <w:rPr>
          <w:i/>
        </w:rPr>
        <w:t>Об увеличении коэффициента, применяемого в целях определения</w:t>
      </w:r>
      <w:r>
        <w:rPr>
          <w:i/>
        </w:rPr>
        <w:t xml:space="preserve"> подлежащих налогообложению доходов от продажи недвижимого имущества на территории Краснодарского края</w:t>
      </w:r>
      <w:r>
        <w:rPr>
          <w:sz w:val="28"/>
        </w:rPr>
        <w:t>». Согласно пояснительной записке к нему в случае его принятия дополнительные поступления в консолидированный бюджет КК должны составить порядка 500 млн р</w:t>
      </w:r>
      <w:r>
        <w:rPr>
          <w:sz w:val="28"/>
        </w:rPr>
        <w:t xml:space="preserve">ублей ежегодно начиная с 2026 года. С учетом доли поступлений </w:t>
      </w:r>
      <w:r>
        <w:rPr>
          <w:i/>
        </w:rPr>
        <w:lastRenderedPageBreak/>
        <w:t>(0,68364)</w:t>
      </w:r>
      <w:r>
        <w:rPr>
          <w:sz w:val="28"/>
        </w:rPr>
        <w:t xml:space="preserve">, применяемой Минфином КК в расчете прогнозных доходов по НДФЛ </w:t>
      </w:r>
      <w:r>
        <w:rPr>
          <w:i/>
        </w:rPr>
        <w:t>(строка 3.2 расчета)</w:t>
      </w:r>
      <w:r>
        <w:rPr>
          <w:sz w:val="28"/>
        </w:rPr>
        <w:t xml:space="preserve">, сумма дополнительных поступлений в краевой бюджет может составить в 2026 – 341 820,0 тыс. рублей, в </w:t>
      </w:r>
      <w:r>
        <w:rPr>
          <w:sz w:val="28"/>
        </w:rPr>
        <w:t xml:space="preserve">2027 – 341 820,0 тыс. рублей </w:t>
      </w:r>
      <w:r>
        <w:rPr>
          <w:i/>
        </w:rPr>
        <w:t>(500 000,0 тыс. рублей*0,68364)</w:t>
      </w:r>
      <w:r>
        <w:rPr>
          <w:sz w:val="28"/>
        </w:rPr>
        <w:t>.</w:t>
      </w:r>
    </w:p>
    <w:p w14:paraId="17D6DA5D" w14:textId="77777777" w:rsidR="00735601" w:rsidRDefault="006D0C58">
      <w:pPr>
        <w:widowControl w:val="0"/>
        <w:ind w:right="28" w:firstLine="709"/>
        <w:jc w:val="both"/>
        <w:rPr>
          <w:b/>
          <w:sz w:val="28"/>
        </w:rPr>
      </w:pPr>
      <w:r>
        <w:rPr>
          <w:sz w:val="28"/>
        </w:rPr>
        <w:t xml:space="preserve">Кроме того, Основными направлениями бюджетной и налоговой политики КК </w:t>
      </w:r>
      <w:r>
        <w:rPr>
          <w:i/>
        </w:rPr>
        <w:t>на 2025 год и плановый период 2026 и 2027 годов</w:t>
      </w:r>
      <w:r>
        <w:rPr>
          <w:sz w:val="28"/>
        </w:rPr>
        <w:t>, представленными с проектом закона, предусматривается в том числе увеличение</w:t>
      </w:r>
      <w:r>
        <w:rPr>
          <w:sz w:val="28"/>
        </w:rPr>
        <w:t xml:space="preserve"> с 2025 года величины регионального коэффициента, отражающего региональные особенности рынка труда КК с 3,5 до 5,5 </w:t>
      </w:r>
      <w:r>
        <w:rPr>
          <w:i/>
        </w:rPr>
        <w:t>(в 1,57 раза)</w:t>
      </w:r>
      <w:r>
        <w:rPr>
          <w:sz w:val="28"/>
        </w:rPr>
        <w:t>, что</w:t>
      </w:r>
      <w:r>
        <w:rPr>
          <w:i/>
        </w:rPr>
        <w:t xml:space="preserve"> (в случае принятия закона)</w:t>
      </w:r>
      <w:r>
        <w:rPr>
          <w:sz w:val="28"/>
        </w:rPr>
        <w:t xml:space="preserve"> отразится на поступлениях фиксированных авансовых платежей с доходов, получаемых иностранными р</w:t>
      </w:r>
      <w:r>
        <w:rPr>
          <w:sz w:val="28"/>
        </w:rPr>
        <w:t>аботниками</w:t>
      </w:r>
      <w:r>
        <w:rPr>
          <w:sz w:val="28"/>
          <w:vertAlign w:val="superscript"/>
        </w:rPr>
        <w:footnoteReference w:id="7"/>
      </w:r>
      <w:r>
        <w:rPr>
          <w:sz w:val="28"/>
        </w:rPr>
        <w:t xml:space="preserve">. В расчете прогнозных доходов, представленном Минфином КК </w:t>
      </w:r>
      <w:r>
        <w:rPr>
          <w:i/>
        </w:rPr>
        <w:t>(строка 4.1)</w:t>
      </w:r>
      <w:r>
        <w:rPr>
          <w:sz w:val="28"/>
        </w:rPr>
        <w:t>, планируемые изменения в краевое законодательство</w:t>
      </w:r>
      <w:r>
        <w:rPr>
          <w:b/>
          <w:sz w:val="28"/>
        </w:rPr>
        <w:t xml:space="preserve"> отражения не нашли.</w:t>
      </w:r>
    </w:p>
    <w:p w14:paraId="2883E586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Таким образом, ожидаемые поступления по НДФЛ в бюджет КК возможно увеличить в 2024 году на</w:t>
      </w:r>
      <w:r>
        <w:rPr>
          <w:b/>
          <w:sz w:val="28"/>
        </w:rPr>
        <w:t xml:space="preserve"> 2 021 438,0</w:t>
      </w:r>
      <w:r>
        <w:rPr>
          <w:b/>
          <w:sz w:val="28"/>
        </w:rPr>
        <w:t> тыс. рублей,</w:t>
      </w:r>
      <w:r>
        <w:rPr>
          <w:sz w:val="28"/>
        </w:rPr>
        <w:t xml:space="preserve"> прогнозные доходы в 2025 году - на </w:t>
      </w:r>
      <w:r>
        <w:rPr>
          <w:b/>
          <w:sz w:val="28"/>
        </w:rPr>
        <w:t>6 307 939,0 тыс. рублей</w:t>
      </w:r>
      <w:r>
        <w:rPr>
          <w:sz w:val="28"/>
        </w:rPr>
        <w:t xml:space="preserve">, в 2026 – на </w:t>
      </w:r>
      <w:r>
        <w:rPr>
          <w:b/>
          <w:sz w:val="28"/>
        </w:rPr>
        <w:t>9 696 454,0 тыс. рублей</w:t>
      </w:r>
      <w:r>
        <w:rPr>
          <w:sz w:val="28"/>
        </w:rPr>
        <w:t xml:space="preserve"> </w:t>
      </w:r>
      <w:r>
        <w:rPr>
          <w:i/>
        </w:rPr>
        <w:t>(9 354 634,0+341 820,0)</w:t>
      </w:r>
      <w:r>
        <w:rPr>
          <w:sz w:val="28"/>
        </w:rPr>
        <w:t xml:space="preserve">, в 2027 – на </w:t>
      </w:r>
      <w:r>
        <w:rPr>
          <w:b/>
          <w:sz w:val="28"/>
        </w:rPr>
        <w:t>10 519 225,0 тыс. рублей</w:t>
      </w:r>
      <w:r>
        <w:rPr>
          <w:sz w:val="28"/>
        </w:rPr>
        <w:t xml:space="preserve"> </w:t>
      </w:r>
      <w:r>
        <w:rPr>
          <w:i/>
        </w:rPr>
        <w:t>(10 177 405,0+341 820,0)</w:t>
      </w:r>
      <w:r>
        <w:rPr>
          <w:sz w:val="28"/>
        </w:rPr>
        <w:t>.</w:t>
      </w:r>
    </w:p>
    <w:p w14:paraId="670900F2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1.3.</w:t>
      </w:r>
      <w:r>
        <w:rPr>
          <w:sz w:val="28"/>
        </w:rPr>
        <w:t xml:space="preserve"> Законопроектом предусмотрено поступление </w:t>
      </w:r>
      <w:r>
        <w:rPr>
          <w:b/>
          <w:sz w:val="28"/>
        </w:rPr>
        <w:t xml:space="preserve">акцизов </w:t>
      </w:r>
      <w:r>
        <w:rPr>
          <w:sz w:val="28"/>
        </w:rPr>
        <w:t>в об</w:t>
      </w:r>
      <w:r>
        <w:rPr>
          <w:sz w:val="28"/>
        </w:rPr>
        <w:t xml:space="preserve">ъеме: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687"/>
        <w:gridCol w:w="1536"/>
        <w:gridCol w:w="1581"/>
        <w:gridCol w:w="1612"/>
      </w:tblGrid>
      <w:tr w:rsidR="00735601" w14:paraId="053E4EBC" w14:textId="77777777">
        <w:trPr>
          <w:trHeight w:val="300"/>
        </w:trPr>
        <w:tc>
          <w:tcPr>
            <w:tcW w:w="33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637C0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5B9E8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9EE77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60D4DFC9" w14:textId="77777777">
        <w:trPr>
          <w:trHeight w:val="300"/>
        </w:trPr>
        <w:tc>
          <w:tcPr>
            <w:tcW w:w="33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F2D61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CCD16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49F94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AE1C2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3A604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49E1C153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A1748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C0942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42 935 628,0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C1C9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44 455 310,0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1B13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46 701 743,0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73A3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48 863 041,0</w:t>
            </w:r>
          </w:p>
        </w:tc>
      </w:tr>
      <w:tr w:rsidR="00735601" w14:paraId="1016C646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6976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4CBA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96C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10,6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2E52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10,5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CC322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10,2</w:t>
            </w:r>
          </w:p>
        </w:tc>
      </w:tr>
      <w:tr w:rsidR="00735601" w14:paraId="13D03803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11384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68F9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826 493,6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039A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1 519 682,0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775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2 246 433,0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020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2 161 298,0</w:t>
            </w:r>
          </w:p>
        </w:tc>
      </w:tr>
      <w:tr w:rsidR="00735601" w14:paraId="3AC9248C" w14:textId="77777777">
        <w:trPr>
          <w:trHeight w:val="2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756D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2A21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102,0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2831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103,5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AC3C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105,1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536E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104,6</w:t>
            </w:r>
          </w:p>
        </w:tc>
      </w:tr>
    </w:tbl>
    <w:p w14:paraId="518BF1C4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Расхождений с прогнозом ГАДБ не установлено.</w:t>
      </w:r>
    </w:p>
    <w:p w14:paraId="00C6BD0E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Однако, по мнению специалистов КСП КК, поступления в краевой бюджет в 2024–2027 годах превысят ожидаемые поступления </w:t>
      </w:r>
      <w:r>
        <w:rPr>
          <w:sz w:val="28"/>
        </w:rPr>
        <w:t>Минфина КК.</w:t>
      </w:r>
    </w:p>
    <w:p w14:paraId="634F752F" w14:textId="77777777" w:rsidR="00735601" w:rsidRDefault="006D0C58">
      <w:pPr>
        <w:ind w:firstLine="709"/>
        <w:jc w:val="both"/>
        <w:rPr>
          <w:i/>
        </w:rPr>
      </w:pPr>
      <w:r>
        <w:rPr>
          <w:sz w:val="28"/>
        </w:rPr>
        <w:t xml:space="preserve">Так, в Заключении от 14.10.2024 специалистами КСП КК указывалось, что </w:t>
      </w:r>
      <w:proofErr w:type="gramStart"/>
      <w:r>
        <w:rPr>
          <w:sz w:val="28"/>
        </w:rPr>
        <w:t>поступления  </w:t>
      </w:r>
      <w:r>
        <w:rPr>
          <w:b/>
          <w:sz w:val="28"/>
        </w:rPr>
        <w:t>в</w:t>
      </w:r>
      <w:proofErr w:type="gramEnd"/>
      <w:r>
        <w:rPr>
          <w:b/>
          <w:sz w:val="28"/>
        </w:rPr>
        <w:t xml:space="preserve"> 2024 году акцизов могут составить 44 150 694,6 тыс. рублей</w:t>
      </w:r>
      <w:r>
        <w:rPr>
          <w:sz w:val="28"/>
        </w:rPr>
        <w:t>, что на </w:t>
      </w:r>
      <w:r>
        <w:rPr>
          <w:b/>
          <w:sz w:val="28"/>
        </w:rPr>
        <w:t>1 215 066,6 тыс. рублей</w:t>
      </w:r>
      <w:r>
        <w:rPr>
          <w:sz w:val="28"/>
        </w:rPr>
        <w:t xml:space="preserve"> </w:t>
      </w:r>
      <w:r>
        <w:rPr>
          <w:b/>
          <w:sz w:val="28"/>
        </w:rPr>
        <w:t>больше</w:t>
      </w:r>
      <w:r>
        <w:rPr>
          <w:sz w:val="28"/>
        </w:rPr>
        <w:t xml:space="preserve"> ожидаемых поступлений Минфина КК </w:t>
      </w:r>
      <w:r>
        <w:rPr>
          <w:i/>
        </w:rPr>
        <w:t>(44 150 694,6 тыс. рублей -4</w:t>
      </w:r>
      <w:r>
        <w:rPr>
          <w:i/>
        </w:rPr>
        <w:t>2 935 628,0 тыс. рублей).</w:t>
      </w:r>
    </w:p>
    <w:p w14:paraId="7A4F87A1" w14:textId="77777777" w:rsidR="00735601" w:rsidRDefault="006D0C58">
      <w:pPr>
        <w:ind w:firstLine="737"/>
        <w:jc w:val="both"/>
        <w:rPr>
          <w:sz w:val="28"/>
        </w:rPr>
      </w:pPr>
      <w:r>
        <w:rPr>
          <w:sz w:val="28"/>
        </w:rPr>
        <w:t>По оценке специалистов КСП КК, с учетом ожидаемых поступлений по налогу в 2024 году, а также повышением на основании Федерального закона от 29.10.2024 № 362-ФЗ</w:t>
      </w:r>
      <w:r>
        <w:rPr>
          <w:sz w:val="28"/>
          <w:vertAlign w:val="superscript"/>
        </w:rPr>
        <w:footnoteReference w:id="8"/>
      </w:r>
      <w:r>
        <w:rPr>
          <w:sz w:val="28"/>
        </w:rPr>
        <w:t xml:space="preserve"> налоговых ставок на подакцизные товары в 2025 году в среднем на 13,0</w:t>
      </w:r>
      <w:r>
        <w:rPr>
          <w:sz w:val="28"/>
        </w:rPr>
        <w:t xml:space="preserve"> %, в 2026 и 2027 годах – на 4,0 %, </w:t>
      </w:r>
      <w:r>
        <w:rPr>
          <w:b/>
          <w:sz w:val="28"/>
        </w:rPr>
        <w:t>прогнозный объем поступлений по акцизам в 2025 году составит 49 890 285,0</w:t>
      </w:r>
      <w:r>
        <w:rPr>
          <w:sz w:val="28"/>
        </w:rPr>
        <w:t> </w:t>
      </w:r>
      <w:r>
        <w:rPr>
          <w:b/>
          <w:sz w:val="28"/>
        </w:rPr>
        <w:t xml:space="preserve">тыс. рублей </w:t>
      </w:r>
      <w:r>
        <w:rPr>
          <w:i/>
        </w:rPr>
        <w:t>(44 150 694,6 тыс. рублей*113,0 %)</w:t>
      </w:r>
      <w:r>
        <w:rPr>
          <w:sz w:val="28"/>
        </w:rPr>
        <w:t>,</w:t>
      </w:r>
      <w:r>
        <w:rPr>
          <w:i/>
        </w:rPr>
        <w:t xml:space="preserve"> </w:t>
      </w:r>
      <w:r>
        <w:rPr>
          <w:b/>
          <w:sz w:val="28"/>
        </w:rPr>
        <w:t>что на 5 434 975,0 тыс. рублей больше бюджетных назначений, предусмотренных законопроектом</w:t>
      </w:r>
      <w:r>
        <w:rPr>
          <w:sz w:val="28"/>
        </w:rPr>
        <w:t xml:space="preserve"> </w:t>
      </w:r>
      <w:r>
        <w:rPr>
          <w:i/>
        </w:rPr>
        <w:t>(44 455</w:t>
      </w:r>
      <w:r>
        <w:rPr>
          <w:i/>
        </w:rPr>
        <w:t> 310,0 тыс. рублей).</w:t>
      </w:r>
    </w:p>
    <w:p w14:paraId="581324F2" w14:textId="77777777" w:rsidR="00735601" w:rsidRDefault="006D0C58">
      <w:pPr>
        <w:ind w:firstLine="709"/>
        <w:jc w:val="both"/>
        <w:rPr>
          <w:i/>
          <w:color w:val="000000" w:themeColor="text1"/>
        </w:rPr>
      </w:pPr>
      <w:r>
        <w:rPr>
          <w:b/>
          <w:color w:val="000000" w:themeColor="text1"/>
          <w:sz w:val="28"/>
        </w:rPr>
        <w:lastRenderedPageBreak/>
        <w:t>В 2026 году</w:t>
      </w:r>
      <w:r>
        <w:rPr>
          <w:color w:val="000000" w:themeColor="text1"/>
          <w:sz w:val="28"/>
        </w:rPr>
        <w:t xml:space="preserve"> –</w:t>
      </w:r>
      <w:r>
        <w:rPr>
          <w:b/>
          <w:color w:val="000000" w:themeColor="text1"/>
          <w:sz w:val="28"/>
        </w:rPr>
        <w:t xml:space="preserve"> 51 885 896,0 тыс. рублей</w:t>
      </w:r>
      <w:r>
        <w:rPr>
          <w:i/>
          <w:color w:val="000000" w:themeColor="text1"/>
        </w:rPr>
        <w:t xml:space="preserve"> (49 890 285 тыс. рублей*104,0 %)</w:t>
      </w:r>
      <w:r>
        <w:rPr>
          <w:color w:val="000000" w:themeColor="text1"/>
          <w:sz w:val="26"/>
        </w:rPr>
        <w:t xml:space="preserve">, </w:t>
      </w:r>
      <w:r>
        <w:rPr>
          <w:b/>
          <w:color w:val="000000" w:themeColor="text1"/>
          <w:sz w:val="28"/>
        </w:rPr>
        <w:t>что на 5 181 153,0 тыс. рублей превышает прогнозного значения по</w:t>
      </w:r>
      <w:r>
        <w:rPr>
          <w:color w:val="000000" w:themeColor="text1"/>
          <w:sz w:val="28"/>
        </w:rPr>
        <w:t xml:space="preserve"> проекту бюджета КК</w:t>
      </w:r>
      <w:r>
        <w:rPr>
          <w:color w:val="000000" w:themeColor="text1"/>
        </w:rPr>
        <w:t xml:space="preserve"> </w:t>
      </w:r>
      <w:r>
        <w:rPr>
          <w:i/>
          <w:color w:val="000000" w:themeColor="text1"/>
        </w:rPr>
        <w:t>(46 701 743,0 тыс. рублей).</w:t>
      </w:r>
    </w:p>
    <w:p w14:paraId="717D42AF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b/>
          <w:color w:val="000000" w:themeColor="text1"/>
          <w:sz w:val="28"/>
        </w:rPr>
        <w:t>В 2027 году</w:t>
      </w:r>
      <w:r>
        <w:rPr>
          <w:color w:val="000000" w:themeColor="text1"/>
          <w:sz w:val="28"/>
        </w:rPr>
        <w:t xml:space="preserve"> –</w:t>
      </w:r>
      <w:r>
        <w:rPr>
          <w:b/>
          <w:color w:val="000000" w:themeColor="text1"/>
          <w:sz w:val="28"/>
        </w:rPr>
        <w:t xml:space="preserve"> 53 961 332,0 тыс. рублей</w:t>
      </w:r>
      <w:r>
        <w:rPr>
          <w:color w:val="000000" w:themeColor="text1"/>
        </w:rPr>
        <w:t xml:space="preserve"> </w:t>
      </w:r>
      <w:r>
        <w:rPr>
          <w:i/>
          <w:color w:val="000000" w:themeColor="text1"/>
        </w:rPr>
        <w:t>(51 885 896,0 тыс. рублей*104,0 %)</w:t>
      </w:r>
      <w:r>
        <w:rPr>
          <w:color w:val="000000" w:themeColor="text1"/>
          <w:sz w:val="26"/>
        </w:rPr>
        <w:t xml:space="preserve">, </w:t>
      </w:r>
      <w:r>
        <w:rPr>
          <w:b/>
          <w:color w:val="000000" w:themeColor="text1"/>
          <w:sz w:val="28"/>
        </w:rPr>
        <w:t>что на 5 098 291,0 тыс. рублей также превышает прогнозируемые доходы по законопроекту</w:t>
      </w:r>
      <w:r>
        <w:rPr>
          <w:i/>
          <w:color w:val="000000" w:themeColor="text1"/>
        </w:rPr>
        <w:t xml:space="preserve"> (48 863 041,0 тыс. рублей).</w:t>
      </w:r>
    </w:p>
    <w:p w14:paraId="6D742D8E" w14:textId="77777777" w:rsidR="00735601" w:rsidRDefault="006D0C58">
      <w:pPr>
        <w:ind w:firstLine="737"/>
        <w:jc w:val="both"/>
        <w:rPr>
          <w:sz w:val="28"/>
        </w:rPr>
      </w:pPr>
      <w:r>
        <w:rPr>
          <w:sz w:val="28"/>
        </w:rPr>
        <w:t xml:space="preserve">Обращает внимание, что Минфином КК в расчете прогнозных доходов по </w:t>
      </w:r>
      <w:r>
        <w:rPr>
          <w:sz w:val="28"/>
        </w:rPr>
        <w:t>акцизам на нефтепродукты не учтены изменения, внесенные Федеральным законом от 29.10.2024 № 367-ФЗ</w:t>
      </w:r>
      <w:r>
        <w:rPr>
          <w:sz w:val="28"/>
          <w:vertAlign w:val="superscript"/>
        </w:rPr>
        <w:footnoteReference w:id="9"/>
      </w:r>
      <w:r>
        <w:rPr>
          <w:sz w:val="28"/>
        </w:rPr>
        <w:t>, согласно которому норматив отчисления акцизов на нефтепродукты в бюджет субъекта РФ изменяется с 74,9</w:t>
      </w:r>
      <w:r>
        <w:rPr>
          <w:rFonts w:ascii="XO Thames" w:hAnsi="XO Thames"/>
          <w:sz w:val="28"/>
        </w:rPr>
        <w:t> </w:t>
      </w:r>
      <w:r>
        <w:rPr>
          <w:sz w:val="28"/>
        </w:rPr>
        <w:t>% до 68,5 %.</w:t>
      </w:r>
    </w:p>
    <w:p w14:paraId="1D0495B4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1.4.</w:t>
      </w:r>
      <w:r>
        <w:rPr>
          <w:sz w:val="28"/>
        </w:rPr>
        <w:t xml:space="preserve"> Поступления </w:t>
      </w:r>
      <w:r>
        <w:rPr>
          <w:b/>
          <w:sz w:val="28"/>
        </w:rPr>
        <w:t>налога, взимаемого в с</w:t>
      </w:r>
      <w:r>
        <w:rPr>
          <w:b/>
          <w:sz w:val="28"/>
        </w:rPr>
        <w:t xml:space="preserve">вязи с применением упрощенной системы налогообложения </w:t>
      </w:r>
      <w:r>
        <w:rPr>
          <w:sz w:val="28"/>
        </w:rPr>
        <w:t>(далее – УСН), прогнозируется: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687"/>
        <w:gridCol w:w="1536"/>
        <w:gridCol w:w="1581"/>
        <w:gridCol w:w="1612"/>
      </w:tblGrid>
      <w:tr w:rsidR="00735601" w14:paraId="4A5CA734" w14:textId="77777777">
        <w:trPr>
          <w:trHeight w:val="214"/>
        </w:trPr>
        <w:tc>
          <w:tcPr>
            <w:tcW w:w="3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CA45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F9587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83B6E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00455342" w14:textId="77777777">
        <w:trPr>
          <w:trHeight w:val="200"/>
        </w:trPr>
        <w:tc>
          <w:tcPr>
            <w:tcW w:w="32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7513A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40804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47B82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3264F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176BE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21569178" w14:textId="77777777">
        <w:trPr>
          <w:trHeight w:val="300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C4BE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AEF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42 037 881,0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872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45 913 300,0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CC1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49 495 230,0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8D6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53 335 332,0</w:t>
            </w:r>
          </w:p>
        </w:tc>
      </w:tr>
      <w:tr w:rsidR="00735601" w14:paraId="14D9C00D" w14:textId="77777777">
        <w:trPr>
          <w:trHeight w:val="300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77566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 xml:space="preserve">доля в налоговых </w:t>
            </w:r>
            <w:r>
              <w:rPr>
                <w:sz w:val="20"/>
              </w:rPr>
              <w:t>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F848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10,7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AF00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FC7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11,1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121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11,2</w:t>
            </w:r>
          </w:p>
        </w:tc>
      </w:tr>
      <w:tr w:rsidR="00735601" w14:paraId="5D2391D5" w14:textId="77777777">
        <w:trPr>
          <w:trHeight w:val="300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965C1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44F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11 215 401,4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FF69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3 875 419,0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33CF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3 581 930,0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7C31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3 840 102,0</w:t>
            </w:r>
          </w:p>
        </w:tc>
      </w:tr>
      <w:tr w:rsidR="00735601" w14:paraId="08ACEC7C" w14:textId="77777777">
        <w:trPr>
          <w:trHeight w:val="300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81BB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3A53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136,4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7323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109,2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E10A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107,8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23BC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107,8</w:t>
            </w:r>
          </w:p>
        </w:tc>
      </w:tr>
    </w:tbl>
    <w:p w14:paraId="6CF90FAF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Расхождений с прогнозом УФНС не установлено. </w:t>
      </w:r>
    </w:p>
    <w:p w14:paraId="29DBA715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Вместе с тем в результате анализа </w:t>
      </w:r>
      <w:r>
        <w:rPr>
          <w:sz w:val="28"/>
        </w:rPr>
        <w:t>показателей, содержащихся в расчете прогнозируемых доходов по УСН, представленном Минфином КК, установлено, что значения показателей «валовой региональный продукт»</w:t>
      </w:r>
      <w:r>
        <w:rPr>
          <w:sz w:val="28"/>
          <w:vertAlign w:val="superscript"/>
        </w:rPr>
        <w:footnoteReference w:id="10"/>
      </w:r>
      <w:r>
        <w:rPr>
          <w:sz w:val="28"/>
        </w:rPr>
        <w:t xml:space="preserve"> и «прибыль прибыльных организаций»</w:t>
      </w:r>
      <w:r>
        <w:rPr>
          <w:sz w:val="28"/>
          <w:vertAlign w:val="superscript"/>
        </w:rPr>
        <w:footnoteReference w:id="11"/>
      </w:r>
      <w:r>
        <w:rPr>
          <w:sz w:val="28"/>
        </w:rPr>
        <w:t xml:space="preserve"> не соответствуют актуальному Прогнозу СЭР, что отрази</w:t>
      </w:r>
      <w:r>
        <w:rPr>
          <w:sz w:val="28"/>
        </w:rPr>
        <w:t>лось на прогнозных значениях налоговой базы по УСН и поступлений по налогу. Используя алгоритм, содержащийся в расчете Минфина КК, и данные актуального Прогноза СЭР</w:t>
      </w:r>
      <w:r>
        <w:rPr>
          <w:sz w:val="28"/>
          <w:vertAlign w:val="superscript"/>
        </w:rPr>
        <w:footnoteReference w:id="12"/>
      </w:r>
      <w:r>
        <w:rPr>
          <w:sz w:val="28"/>
        </w:rPr>
        <w:t xml:space="preserve">, по расчетам специалистов КСП КК ожидаемые поступления УСН </w:t>
      </w:r>
      <w:r>
        <w:rPr>
          <w:b/>
          <w:sz w:val="28"/>
        </w:rPr>
        <w:t>в 2024 году</w:t>
      </w:r>
      <w:r>
        <w:rPr>
          <w:sz w:val="28"/>
        </w:rPr>
        <w:t xml:space="preserve"> составят 42 090 49</w:t>
      </w:r>
      <w:r>
        <w:rPr>
          <w:sz w:val="28"/>
        </w:rPr>
        <w:t xml:space="preserve">8,0 тыс. рублей </w:t>
      </w:r>
      <w:r>
        <w:rPr>
          <w:i/>
        </w:rPr>
        <w:t xml:space="preserve">(что </w:t>
      </w:r>
      <w:r>
        <w:rPr>
          <w:b/>
          <w:i/>
        </w:rPr>
        <w:t>на 52 617,0 тыс. рублей</w:t>
      </w:r>
      <w:r>
        <w:rPr>
          <w:i/>
        </w:rPr>
        <w:t xml:space="preserve"> выше Оценки бюджета КК)</w:t>
      </w:r>
      <w:r>
        <w:rPr>
          <w:sz w:val="28"/>
        </w:rPr>
        <w:t>, прогнозные доходы по УСН составят в 2025 году 45 909 949,0 тыс. рублей, в 2026 – 49 476 970,0 тыс. рублей, в 2027 – 53 320 894,0 тыс. рублей.</w:t>
      </w:r>
    </w:p>
    <w:p w14:paraId="6AA5A9DE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Следует отметить, что </w:t>
      </w:r>
      <w:r>
        <w:rPr>
          <w:sz w:val="28"/>
        </w:rPr>
        <w:t>Федеральным законом от</w:t>
      </w:r>
      <w:r>
        <w:rPr>
          <w:sz w:val="28"/>
        </w:rPr>
        <w:t xml:space="preserve"> 12.07.2024 №</w:t>
      </w:r>
      <w:r>
        <w:rPr>
          <w:sz w:val="28"/>
        </w:rPr>
        <w:t> </w:t>
      </w:r>
      <w:r>
        <w:rPr>
          <w:sz w:val="28"/>
        </w:rPr>
        <w:t>176-ФЗ в НК</w:t>
      </w:r>
      <w:r>
        <w:rPr>
          <w:sz w:val="28"/>
        </w:rPr>
        <w:t> </w:t>
      </w:r>
      <w:r>
        <w:rPr>
          <w:sz w:val="28"/>
        </w:rPr>
        <w:t>РФ внесены изменения, согласно которым повышен допустимый предел общей суммы доходов и стоимости основных средств, позволяющий применять УСН. Указанные изменения могут повлечь увеличение круга налогоплательщиков, применяющих упрощ</w:t>
      </w:r>
      <w:r>
        <w:rPr>
          <w:sz w:val="28"/>
        </w:rPr>
        <w:t xml:space="preserve">енную систему, что окажет влияние </w:t>
      </w:r>
      <w:r>
        <w:rPr>
          <w:sz w:val="28"/>
        </w:rPr>
        <w:lastRenderedPageBreak/>
        <w:t>и на поступление налога. Однако в расчете прогнозных доходов, представленном Минфином КК, изменения в налоговое законодательство не учтены</w:t>
      </w:r>
      <w:r>
        <w:rPr>
          <w:sz w:val="28"/>
          <w:vertAlign w:val="superscript"/>
        </w:rPr>
        <w:footnoteReference w:id="13"/>
      </w:r>
      <w:r>
        <w:rPr>
          <w:sz w:val="28"/>
        </w:rPr>
        <w:t xml:space="preserve">. </w:t>
      </w:r>
    </w:p>
    <w:p w14:paraId="7072904C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Таким образом, ожидаемые поступления по УСН возможно</w:t>
      </w:r>
      <w:r>
        <w:rPr>
          <w:b/>
          <w:sz w:val="28"/>
        </w:rPr>
        <w:t xml:space="preserve"> увеличить </w:t>
      </w:r>
      <w:r>
        <w:rPr>
          <w:sz w:val="28"/>
        </w:rPr>
        <w:t>в 2024</w:t>
      </w:r>
      <w:r>
        <w:rPr>
          <w:b/>
          <w:sz w:val="28"/>
        </w:rPr>
        <w:t xml:space="preserve"> </w:t>
      </w:r>
      <w:r>
        <w:rPr>
          <w:sz w:val="28"/>
        </w:rPr>
        <w:t>году на</w:t>
      </w:r>
      <w:r>
        <w:rPr>
          <w:b/>
          <w:sz w:val="28"/>
        </w:rPr>
        <w:t xml:space="preserve"> 52 617,0 тыс. рублей,</w:t>
      </w:r>
      <w:r>
        <w:rPr>
          <w:sz w:val="28"/>
        </w:rPr>
        <w:t xml:space="preserve"> прогнозные доходы </w:t>
      </w:r>
      <w:r>
        <w:rPr>
          <w:b/>
          <w:sz w:val="28"/>
        </w:rPr>
        <w:t>уменьшить</w:t>
      </w:r>
      <w:r>
        <w:rPr>
          <w:sz w:val="28"/>
        </w:rPr>
        <w:t xml:space="preserve"> в 2025 году – на </w:t>
      </w:r>
      <w:r>
        <w:rPr>
          <w:b/>
          <w:sz w:val="28"/>
        </w:rPr>
        <w:t>3 351,0 тыс. рублей</w:t>
      </w:r>
      <w:r>
        <w:rPr>
          <w:sz w:val="28"/>
        </w:rPr>
        <w:t xml:space="preserve">, в 2026 – на </w:t>
      </w:r>
      <w:r>
        <w:rPr>
          <w:b/>
          <w:sz w:val="28"/>
        </w:rPr>
        <w:t>18 260,0 тыс. рублей</w:t>
      </w:r>
      <w:r>
        <w:rPr>
          <w:sz w:val="28"/>
        </w:rPr>
        <w:t xml:space="preserve">, в 2027 – на </w:t>
      </w:r>
      <w:r>
        <w:rPr>
          <w:b/>
          <w:sz w:val="28"/>
        </w:rPr>
        <w:t>14 438,0 тыс. рублей</w:t>
      </w:r>
      <w:r>
        <w:rPr>
          <w:sz w:val="28"/>
        </w:rPr>
        <w:t xml:space="preserve">. </w:t>
      </w:r>
    </w:p>
    <w:p w14:paraId="7616ADF7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Обращает внимание, что Федеральным законом от 29.10.2024 № 362-ФЗ </w:t>
      </w:r>
      <w:r>
        <w:rPr>
          <w:sz w:val="28"/>
        </w:rPr>
        <w:t xml:space="preserve">внесены изменения в Федеральный </w:t>
      </w:r>
      <w:r>
        <w:rPr>
          <w:sz w:val="28"/>
        </w:rPr>
        <w:t>закон от 25.02.2022 №</w:t>
      </w:r>
      <w:r>
        <w:rPr>
          <w:sz w:val="28"/>
        </w:rPr>
        <w:t> </w:t>
      </w:r>
      <w:r>
        <w:rPr>
          <w:sz w:val="28"/>
        </w:rPr>
        <w:t>17-ФЗ «</w:t>
      </w:r>
      <w:r>
        <w:rPr>
          <w:i/>
        </w:rPr>
        <w:t>О проведении эксперимента по установлению специального налогового режима «Автоматизированная упрощенная система налогообложения</w:t>
      </w:r>
      <w:r>
        <w:rPr>
          <w:sz w:val="28"/>
        </w:rPr>
        <w:t xml:space="preserve">», согласно которым специальный налоговый режим «Автоматизированная упрощенная система налогообложения» (далее – </w:t>
      </w:r>
      <w:proofErr w:type="spellStart"/>
      <w:r>
        <w:rPr>
          <w:sz w:val="28"/>
        </w:rPr>
        <w:t>АвтоУСН</w:t>
      </w:r>
      <w:proofErr w:type="spellEnd"/>
      <w:r>
        <w:rPr>
          <w:sz w:val="28"/>
        </w:rPr>
        <w:t>) с 01.01.2025 может вводиться на территории любого субъекта РФ законами этого субъекта. В</w:t>
      </w:r>
      <w:r>
        <w:rPr>
          <w:sz w:val="28"/>
        </w:rPr>
        <w:t> </w:t>
      </w:r>
      <w:r>
        <w:rPr>
          <w:sz w:val="28"/>
        </w:rPr>
        <w:t>настоящее время Минфином КК подготовлен проек</w:t>
      </w:r>
      <w:r>
        <w:rPr>
          <w:sz w:val="28"/>
        </w:rPr>
        <w:t>т закона КК</w:t>
      </w:r>
      <w:r>
        <w:rPr>
          <w:sz w:val="28"/>
          <w:vertAlign w:val="superscript"/>
        </w:rPr>
        <w:footnoteReference w:id="14"/>
      </w:r>
      <w:r>
        <w:rPr>
          <w:sz w:val="28"/>
        </w:rPr>
        <w:t xml:space="preserve"> о введении </w:t>
      </w:r>
      <w:proofErr w:type="spellStart"/>
      <w:r>
        <w:rPr>
          <w:sz w:val="28"/>
        </w:rPr>
        <w:t>АвтоУСН</w:t>
      </w:r>
      <w:proofErr w:type="spellEnd"/>
      <w:r>
        <w:rPr>
          <w:sz w:val="28"/>
        </w:rPr>
        <w:t xml:space="preserve"> на территории края. В случае принятия и опубликования указанного закона до 01.12.2024, с 01.01.2025 </w:t>
      </w:r>
      <w:proofErr w:type="spellStart"/>
      <w:r>
        <w:rPr>
          <w:sz w:val="28"/>
        </w:rPr>
        <w:t>АвтоУСН</w:t>
      </w:r>
      <w:proofErr w:type="spellEnd"/>
      <w:r>
        <w:rPr>
          <w:sz w:val="28"/>
        </w:rPr>
        <w:t xml:space="preserve"> будет применяться на территории КК. Однако прогнозные доходы от налога, взимаемого в связи с применением специально</w:t>
      </w:r>
      <w:r>
        <w:rPr>
          <w:sz w:val="28"/>
        </w:rPr>
        <w:t>го налогового режима «</w:t>
      </w:r>
      <w:r>
        <w:rPr>
          <w:i/>
        </w:rPr>
        <w:t>Автоматизированная упрощенная система налогообложения</w:t>
      </w:r>
      <w:r>
        <w:rPr>
          <w:sz w:val="28"/>
        </w:rPr>
        <w:t>», который в соответствии с БК РФ подлежит зачислению в</w:t>
      </w:r>
      <w:r>
        <w:rPr>
          <w:sz w:val="28"/>
        </w:rPr>
        <w:t> </w:t>
      </w:r>
      <w:r>
        <w:rPr>
          <w:sz w:val="28"/>
        </w:rPr>
        <w:t>бюджет субъекта РФ по нормативу 54</w:t>
      </w:r>
      <w:r>
        <w:rPr>
          <w:sz w:val="28"/>
        </w:rPr>
        <w:t> </w:t>
      </w:r>
      <w:r>
        <w:rPr>
          <w:sz w:val="28"/>
        </w:rPr>
        <w:t>%, на период 2025</w:t>
      </w:r>
      <w:r>
        <w:rPr>
          <w:sz w:val="28"/>
        </w:rPr>
        <w:t>–</w:t>
      </w:r>
      <w:r>
        <w:rPr>
          <w:sz w:val="28"/>
        </w:rPr>
        <w:t>2027 годов Минфином КК не определялись.</w:t>
      </w:r>
    </w:p>
    <w:p w14:paraId="5F1CCE65" w14:textId="77777777" w:rsidR="00735601" w:rsidRDefault="006D0C58">
      <w:pPr>
        <w:widowControl w:val="0"/>
        <w:ind w:firstLine="709"/>
        <w:jc w:val="both"/>
        <w:rPr>
          <w:color w:val="35BD35"/>
          <w:sz w:val="28"/>
        </w:rPr>
      </w:pPr>
      <w:r>
        <w:rPr>
          <w:b/>
          <w:i/>
          <w:sz w:val="28"/>
        </w:rPr>
        <w:t>1.5.</w:t>
      </w:r>
      <w:r>
        <w:rPr>
          <w:sz w:val="28"/>
        </w:rPr>
        <w:t xml:space="preserve"> Законопроектом предусмотрен</w:t>
      </w:r>
      <w:r>
        <w:rPr>
          <w:sz w:val="28"/>
        </w:rPr>
        <w:t xml:space="preserve">о поступление </w:t>
      </w:r>
      <w:r>
        <w:rPr>
          <w:b/>
          <w:sz w:val="28"/>
        </w:rPr>
        <w:t xml:space="preserve">налога на профессиональный доход </w:t>
      </w:r>
      <w:r>
        <w:rPr>
          <w:sz w:val="28"/>
        </w:rPr>
        <w:t>(далее – НПД):</w:t>
      </w:r>
    </w:p>
    <w:p w14:paraId="6F26E7A8" w14:textId="77777777" w:rsidR="00735601" w:rsidRDefault="00735601">
      <w:pPr>
        <w:widowControl w:val="0"/>
        <w:ind w:firstLine="709"/>
        <w:jc w:val="both"/>
        <w:rPr>
          <w:color w:val="00B050"/>
          <w:sz w:val="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687"/>
        <w:gridCol w:w="1536"/>
        <w:gridCol w:w="1581"/>
        <w:gridCol w:w="1612"/>
      </w:tblGrid>
      <w:tr w:rsidR="00735601" w14:paraId="1FE825F0" w14:textId="77777777">
        <w:trPr>
          <w:trHeight w:val="300"/>
        </w:trPr>
        <w:tc>
          <w:tcPr>
            <w:tcW w:w="33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2189C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6E6D2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1F16F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2AE048A9" w14:textId="77777777">
        <w:trPr>
          <w:trHeight w:val="300"/>
        </w:trPr>
        <w:tc>
          <w:tcPr>
            <w:tcW w:w="33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43045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C96DD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48749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6BDAF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7A4F6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11EEFB31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04652" w14:textId="77777777" w:rsidR="00735601" w:rsidRDefault="006D0C58">
            <w:pPr>
              <w:spacing w:line="228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AA35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2 322 779,0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C74D0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2 639 941,0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A4D4A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2 953 049,0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4084B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3 334 456,0</w:t>
            </w:r>
          </w:p>
        </w:tc>
      </w:tr>
      <w:tr w:rsidR="00735601" w14:paraId="29A2E05E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74764" w14:textId="77777777" w:rsidR="00735601" w:rsidRDefault="006D0C58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>доля в 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A90D5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0,6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1C7D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0,6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8AA79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0,7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0AD3D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0,7</w:t>
            </w:r>
          </w:p>
        </w:tc>
      </w:tr>
      <w:tr w:rsidR="00735601" w14:paraId="594516BD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63C81" w14:textId="77777777" w:rsidR="00735601" w:rsidRDefault="006D0C58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 xml:space="preserve">к </w:t>
            </w:r>
            <w:r>
              <w:rPr>
                <w:sz w:val="20"/>
              </w:rPr>
              <w:t>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C1036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862 394,8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697F3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317 162,0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FFED3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313 108,0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FB6CF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381 407,0</w:t>
            </w:r>
          </w:p>
        </w:tc>
      </w:tr>
      <w:tr w:rsidR="00735601" w14:paraId="58F3D903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62E18" w14:textId="77777777" w:rsidR="00735601" w:rsidRDefault="006D0C58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33BF8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159,1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04620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113,7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F19D5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111,9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EE2E9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112,9</w:t>
            </w:r>
          </w:p>
        </w:tc>
      </w:tr>
    </w:tbl>
    <w:p w14:paraId="1DD93629" w14:textId="77777777" w:rsidR="00735601" w:rsidRDefault="006D0C58">
      <w:pPr>
        <w:ind w:firstLine="709"/>
        <w:jc w:val="both"/>
      </w:pPr>
      <w:r>
        <w:rPr>
          <w:sz w:val="28"/>
        </w:rPr>
        <w:t xml:space="preserve">Расхождений с прогнозом УФНС не установлено. </w:t>
      </w:r>
    </w:p>
    <w:p w14:paraId="30FF9637" w14:textId="77777777" w:rsidR="00735601" w:rsidRDefault="006D0C58">
      <w:pPr>
        <w:ind w:firstLine="709"/>
        <w:jc w:val="both"/>
      </w:pPr>
      <w:r>
        <w:rPr>
          <w:sz w:val="28"/>
        </w:rPr>
        <w:t xml:space="preserve">Вместе с тем в расчете прогнозных доходов Минфином КК не учтена сложившаяся динамика </w:t>
      </w:r>
      <w:r>
        <w:rPr>
          <w:sz w:val="28"/>
        </w:rPr>
        <w:t>поступлений НПД за истекший период 2024 года. Согласно расчету прогнозных доходов на 2025 год сумма ежемесячных поступлений по НПД составит 220 000,0 тыс. рублей</w:t>
      </w:r>
      <w:r>
        <w:rPr>
          <w:sz w:val="28"/>
          <w:vertAlign w:val="superscript"/>
        </w:rPr>
        <w:footnoteReference w:id="15"/>
      </w:r>
      <w:r>
        <w:rPr>
          <w:sz w:val="28"/>
        </w:rPr>
        <w:t>. В то же время уже по итогам 3 квартала 2024 года сумма ежемесячных поступлений составила 25</w:t>
      </w:r>
      <w:r>
        <w:rPr>
          <w:sz w:val="28"/>
        </w:rPr>
        <w:t>5 750,0 тыс. рублей</w:t>
      </w:r>
      <w:r>
        <w:rPr>
          <w:sz w:val="28"/>
          <w:vertAlign w:val="superscript"/>
        </w:rPr>
        <w:footnoteReference w:id="16"/>
      </w:r>
      <w:r>
        <w:rPr>
          <w:sz w:val="28"/>
        </w:rPr>
        <w:t xml:space="preserve"> и имеет тенденцию к росту. Соответственно, объем поступлений НПД в 2024 году может составить 2 597 148,0 тыс. рублей</w:t>
      </w:r>
      <w:r>
        <w:rPr>
          <w:sz w:val="28"/>
          <w:vertAlign w:val="superscript"/>
        </w:rPr>
        <w:footnoteReference w:id="17"/>
      </w:r>
      <w:r>
        <w:rPr>
          <w:sz w:val="28"/>
        </w:rPr>
        <w:t>, в 2025 году – не менее 3 069 000 тыс. рублей</w:t>
      </w:r>
      <w:r>
        <w:rPr>
          <w:sz w:val="28"/>
          <w:vertAlign w:val="superscript"/>
        </w:rPr>
        <w:footnoteReference w:id="18"/>
      </w:r>
      <w:r>
        <w:rPr>
          <w:sz w:val="28"/>
        </w:rPr>
        <w:t xml:space="preserve">, что выше Оценки бюджета КК за 2024 </w:t>
      </w:r>
      <w:r>
        <w:rPr>
          <w:sz w:val="28"/>
        </w:rPr>
        <w:lastRenderedPageBreak/>
        <w:t>год на 274 369,0 тыс. рублей, и</w:t>
      </w:r>
      <w:r>
        <w:rPr>
          <w:sz w:val="28"/>
        </w:rPr>
        <w:t xml:space="preserve"> выше</w:t>
      </w:r>
      <w:r>
        <w:rPr>
          <w:b/>
          <w:sz w:val="28"/>
        </w:rPr>
        <w:t xml:space="preserve"> </w:t>
      </w:r>
      <w:r>
        <w:rPr>
          <w:sz w:val="28"/>
        </w:rPr>
        <w:t>прогноза Минфина КК на 2025 год на 429 089,0 тыс. рублей.</w:t>
      </w:r>
    </w:p>
    <w:p w14:paraId="58329538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Таким образом, ожидаемые поступления по налогу на профессиональный доход возможно</w:t>
      </w:r>
      <w:r>
        <w:rPr>
          <w:b/>
          <w:sz w:val="28"/>
        </w:rPr>
        <w:t xml:space="preserve"> увеличить в 2024 </w:t>
      </w:r>
      <w:r>
        <w:rPr>
          <w:sz w:val="28"/>
        </w:rPr>
        <w:t xml:space="preserve">году на </w:t>
      </w:r>
      <w:r>
        <w:rPr>
          <w:b/>
          <w:sz w:val="28"/>
        </w:rPr>
        <w:t>274 369,0</w:t>
      </w:r>
      <w:r>
        <w:rPr>
          <w:sz w:val="28"/>
        </w:rPr>
        <w:t> </w:t>
      </w:r>
      <w:r>
        <w:rPr>
          <w:b/>
          <w:sz w:val="28"/>
        </w:rPr>
        <w:t>тыс. рублей</w:t>
      </w:r>
      <w:r>
        <w:rPr>
          <w:sz w:val="28"/>
        </w:rPr>
        <w:t xml:space="preserve">, </w:t>
      </w:r>
      <w:r>
        <w:rPr>
          <w:b/>
          <w:sz w:val="28"/>
        </w:rPr>
        <w:t>в 2025 году</w:t>
      </w:r>
      <w:r>
        <w:rPr>
          <w:sz w:val="28"/>
        </w:rPr>
        <w:t xml:space="preserve"> – на </w:t>
      </w:r>
      <w:r>
        <w:rPr>
          <w:b/>
          <w:sz w:val="28"/>
        </w:rPr>
        <w:t>429 089,0 тыс. рублей</w:t>
      </w:r>
      <w:r>
        <w:rPr>
          <w:sz w:val="28"/>
        </w:rPr>
        <w:t>.</w:t>
      </w:r>
    </w:p>
    <w:p w14:paraId="27936BFF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1.6.</w:t>
      </w:r>
      <w:r>
        <w:rPr>
          <w:sz w:val="28"/>
        </w:rPr>
        <w:t xml:space="preserve"> </w:t>
      </w:r>
      <w:proofErr w:type="gramStart"/>
      <w:r>
        <w:rPr>
          <w:sz w:val="28"/>
        </w:rPr>
        <w:t>Согласно законопр</w:t>
      </w:r>
      <w:r>
        <w:rPr>
          <w:sz w:val="28"/>
        </w:rPr>
        <w:t>оекту</w:t>
      </w:r>
      <w:proofErr w:type="gramEnd"/>
      <w:r>
        <w:rPr>
          <w:sz w:val="28"/>
        </w:rPr>
        <w:t xml:space="preserve"> общий объем доходов по </w:t>
      </w:r>
      <w:r>
        <w:rPr>
          <w:b/>
          <w:sz w:val="28"/>
        </w:rPr>
        <w:t>налогу на имущество организаций</w:t>
      </w:r>
      <w:r>
        <w:rPr>
          <w:sz w:val="28"/>
        </w:rPr>
        <w:t xml:space="preserve"> составит: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687"/>
        <w:gridCol w:w="1536"/>
        <w:gridCol w:w="1581"/>
        <w:gridCol w:w="1612"/>
      </w:tblGrid>
      <w:tr w:rsidR="00735601" w14:paraId="0DC0C92C" w14:textId="77777777">
        <w:trPr>
          <w:trHeight w:val="200"/>
        </w:trPr>
        <w:tc>
          <w:tcPr>
            <w:tcW w:w="33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2E9A1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9B714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16232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47A3662A" w14:textId="77777777">
        <w:trPr>
          <w:trHeight w:val="200"/>
        </w:trPr>
        <w:tc>
          <w:tcPr>
            <w:tcW w:w="33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24885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4DE3F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EFF1C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DC86A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E4BEB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6EBFAAC6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33365" w14:textId="77777777" w:rsidR="00735601" w:rsidRDefault="006D0C58">
            <w:pPr>
              <w:spacing w:line="228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7973D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45 335 060,0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C811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48 786 078,0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03E7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51 663 363,0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37296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56 847 778,0</w:t>
            </w:r>
          </w:p>
        </w:tc>
      </w:tr>
      <w:tr w:rsidR="00735601" w14:paraId="6FD39D99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7564E" w14:textId="77777777" w:rsidR="00735601" w:rsidRDefault="006D0C58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>доля в 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6C93A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11,6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27635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11,6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DBBAD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11,6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5AF51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11,9</w:t>
            </w:r>
          </w:p>
        </w:tc>
      </w:tr>
      <w:tr w:rsidR="00735601" w14:paraId="1101CE2A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1FB5B" w14:textId="77777777" w:rsidR="00735601" w:rsidRDefault="006D0C58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4A6CD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4 589 748,3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F106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3 451 018,0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E320C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2 877 285,0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B90B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5 184 415,0</w:t>
            </w:r>
          </w:p>
        </w:tc>
      </w:tr>
      <w:tr w:rsidR="00735601" w14:paraId="7CE58841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EDBC8" w14:textId="77777777" w:rsidR="00735601" w:rsidRDefault="006D0C58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235D0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111,3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74234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107,6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3B656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105,9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6B4DE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110,0</w:t>
            </w:r>
          </w:p>
        </w:tc>
      </w:tr>
    </w:tbl>
    <w:p w14:paraId="0CA91D21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Расхождений с прогнозом УФНС не установлено. </w:t>
      </w:r>
    </w:p>
    <w:p w14:paraId="4ECF23AC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sz w:val="28"/>
        </w:rPr>
        <w:t>Предложения по корректировке</w:t>
      </w:r>
      <w:r>
        <w:rPr>
          <w:sz w:val="28"/>
        </w:rPr>
        <w:t xml:space="preserve"> прогнозных доходов по налогу на имущество организаций </w:t>
      </w:r>
      <w:r>
        <w:rPr>
          <w:b/>
          <w:sz w:val="28"/>
        </w:rPr>
        <w:t>отсутствуют</w:t>
      </w:r>
      <w:r>
        <w:rPr>
          <w:sz w:val="28"/>
        </w:rPr>
        <w:t>.</w:t>
      </w:r>
    </w:p>
    <w:p w14:paraId="7B986F86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1.7.</w:t>
      </w:r>
      <w:r>
        <w:rPr>
          <w:i/>
          <w:sz w:val="28"/>
        </w:rPr>
        <w:t xml:space="preserve"> </w:t>
      </w:r>
      <w:r>
        <w:rPr>
          <w:sz w:val="28"/>
        </w:rPr>
        <w:t>Законопроектом</w:t>
      </w:r>
      <w:r>
        <w:rPr>
          <w:i/>
          <w:sz w:val="28"/>
        </w:rPr>
        <w:t xml:space="preserve"> </w:t>
      </w:r>
      <w:r>
        <w:rPr>
          <w:sz w:val="28"/>
        </w:rPr>
        <w:t xml:space="preserve">прогнозные доходы по </w:t>
      </w:r>
      <w:r>
        <w:rPr>
          <w:b/>
          <w:sz w:val="28"/>
        </w:rPr>
        <w:t>транспортному налогу</w:t>
      </w:r>
      <w:r>
        <w:rPr>
          <w:sz w:val="28"/>
        </w:rPr>
        <w:t xml:space="preserve"> определены в следующих объемах: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687"/>
        <w:gridCol w:w="1536"/>
        <w:gridCol w:w="1581"/>
        <w:gridCol w:w="1612"/>
      </w:tblGrid>
      <w:tr w:rsidR="00735601" w14:paraId="79EC2488" w14:textId="77777777">
        <w:trPr>
          <w:trHeight w:val="248"/>
        </w:trPr>
        <w:tc>
          <w:tcPr>
            <w:tcW w:w="33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530E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DFECD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4D996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7604D657" w14:textId="77777777">
        <w:trPr>
          <w:trHeight w:val="300"/>
        </w:trPr>
        <w:tc>
          <w:tcPr>
            <w:tcW w:w="33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27BD3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548C2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5251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D1C21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CF522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08C773F0" w14:textId="77777777">
        <w:trPr>
          <w:trHeight w:val="315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FC244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Законопроект, тыс. </w:t>
            </w:r>
            <w:r>
              <w:rPr>
                <w:b/>
                <w:sz w:val="20"/>
              </w:rPr>
              <w:t>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C6B8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9 645 386,0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5855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9 756 687,0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A158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10 112 740,0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C69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10 502 455,0</w:t>
            </w:r>
          </w:p>
        </w:tc>
      </w:tr>
      <w:tr w:rsidR="00735601" w14:paraId="66FF78CB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772EF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363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A557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975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1CDC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</w:tr>
      <w:tr w:rsidR="00735601" w14:paraId="5ED09F68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A0478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A720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510 407,8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5F2F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111 301,0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738B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356 053,0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77A6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389 715,0</w:t>
            </w:r>
          </w:p>
        </w:tc>
      </w:tr>
      <w:tr w:rsidR="00735601" w14:paraId="26F6E9F8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043A2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F521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105,6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93E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101,2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8EB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103,6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A944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103,9</w:t>
            </w:r>
          </w:p>
        </w:tc>
      </w:tr>
    </w:tbl>
    <w:p w14:paraId="697A8CD5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Расхождений с прогнозом УФНС не установлено. </w:t>
      </w:r>
    </w:p>
    <w:p w14:paraId="1D79BAFF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Согласно законопроекту в 2025 году Минфином КК по транспортному налогу прогнозируются доходы в объеме 9 756 687,0 тыс. рублей или 101,2 % к оценке 2024 года, что ниже самого минимального значения динамики посту</w:t>
      </w:r>
      <w:r>
        <w:rPr>
          <w:sz w:val="28"/>
        </w:rPr>
        <w:t xml:space="preserve">плений, сложившейся за последние годы </w:t>
      </w:r>
      <w:r>
        <w:rPr>
          <w:i/>
        </w:rPr>
        <w:t>(в 2021–2023 годах)</w:t>
      </w:r>
      <w:r>
        <w:rPr>
          <w:sz w:val="28"/>
        </w:rPr>
        <w:t>.</w:t>
      </w:r>
    </w:p>
    <w:p w14:paraId="62078687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Динамика поступлений по транспортному налогу за последние годы отмечается нестабильным темпом роста. Так, в 2021 году темп роста поступлений по налогу к предшествующему 2020 году составил 104,5 %</w:t>
      </w:r>
      <w:r>
        <w:t xml:space="preserve"> </w:t>
      </w:r>
      <w:r>
        <w:rPr>
          <w:i/>
        </w:rPr>
        <w:t>(</w:t>
      </w:r>
      <w:r>
        <w:rPr>
          <w:i/>
        </w:rPr>
        <w:t>8 371 041 тыс. рублей/8 009 012 тыс. рублей)</w:t>
      </w:r>
      <w:r>
        <w:rPr>
          <w:sz w:val="28"/>
        </w:rPr>
        <w:t>, в 2022 – 107,0 %</w:t>
      </w:r>
      <w:r>
        <w:t xml:space="preserve"> </w:t>
      </w:r>
      <w:r>
        <w:rPr>
          <w:i/>
        </w:rPr>
        <w:t>(8 961 136 тыс. рублей/ /8 371 041 тыс. рублей)</w:t>
      </w:r>
      <w:r>
        <w:rPr>
          <w:sz w:val="28"/>
        </w:rPr>
        <w:t xml:space="preserve">, в 2023 – 101,9 % </w:t>
      </w:r>
      <w:r>
        <w:rPr>
          <w:i/>
        </w:rPr>
        <w:t>(9</w:t>
      </w:r>
      <w:r>
        <w:rPr>
          <w:i/>
        </w:rPr>
        <w:t> 1345 978 тыс. рублей/8 961 136 тыс. рублей)</w:t>
      </w:r>
      <w:r>
        <w:rPr>
          <w:sz w:val="28"/>
        </w:rPr>
        <w:t xml:space="preserve">. </w:t>
      </w:r>
    </w:p>
    <w:p w14:paraId="55C0C43B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По оценке специалистов КСП КК, исходя из ожидаемого объема поступлений в 2024 </w:t>
      </w:r>
      <w:r>
        <w:rPr>
          <w:sz w:val="28"/>
        </w:rPr>
        <w:t xml:space="preserve">году доходов по налогу, а также минимального значения динамики его поступлений </w:t>
      </w:r>
      <w:r>
        <w:rPr>
          <w:i/>
        </w:rPr>
        <w:t>(101,9 %)</w:t>
      </w:r>
      <w:r>
        <w:rPr>
          <w:sz w:val="28"/>
        </w:rPr>
        <w:t xml:space="preserve">, прогнозный объем поступлений по транспортному налогу </w:t>
      </w:r>
      <w:r>
        <w:rPr>
          <w:b/>
          <w:sz w:val="28"/>
        </w:rPr>
        <w:t xml:space="preserve">в 2025 году </w:t>
      </w:r>
      <w:r>
        <w:rPr>
          <w:sz w:val="28"/>
        </w:rPr>
        <w:t xml:space="preserve">составит </w:t>
      </w:r>
      <w:r>
        <w:rPr>
          <w:b/>
          <w:sz w:val="28"/>
        </w:rPr>
        <w:t>9 828 648 ,0 тыс. рублей</w:t>
      </w:r>
      <w:r>
        <w:rPr>
          <w:sz w:val="28"/>
        </w:rPr>
        <w:t xml:space="preserve"> </w:t>
      </w:r>
      <w:r>
        <w:rPr>
          <w:i/>
        </w:rPr>
        <w:t>(9 645 386  тыс. рублей*101,9 %)</w:t>
      </w:r>
      <w:r>
        <w:rPr>
          <w:sz w:val="28"/>
        </w:rPr>
        <w:t>,</w:t>
      </w:r>
      <w:r>
        <w:t xml:space="preserve"> </w:t>
      </w:r>
      <w:r>
        <w:rPr>
          <w:b/>
          <w:sz w:val="28"/>
        </w:rPr>
        <w:t>что на 71 961,0 тыс. рублей больш</w:t>
      </w:r>
      <w:r>
        <w:rPr>
          <w:b/>
          <w:sz w:val="28"/>
        </w:rPr>
        <w:t xml:space="preserve">е прогнозного значения, предусмотренного в расчете к законопроекту </w:t>
      </w:r>
      <w:r>
        <w:rPr>
          <w:i/>
        </w:rPr>
        <w:t>(9 756 687,0 тыс. рублей).</w:t>
      </w:r>
    </w:p>
    <w:p w14:paraId="5F34E772" w14:textId="77777777" w:rsidR="00735601" w:rsidRDefault="006D0C58">
      <w:pPr>
        <w:pStyle w:val="Footnote"/>
        <w:ind w:firstLine="720"/>
        <w:jc w:val="both"/>
        <w:rPr>
          <w:sz w:val="28"/>
        </w:rPr>
      </w:pPr>
      <w:r>
        <w:rPr>
          <w:b/>
          <w:sz w:val="28"/>
        </w:rPr>
        <w:t xml:space="preserve">Замечания и предложения </w:t>
      </w:r>
      <w:r>
        <w:rPr>
          <w:sz w:val="28"/>
        </w:rPr>
        <w:t>к прогнозу поступления транспортного налога на</w:t>
      </w:r>
      <w:r>
        <w:rPr>
          <w:b/>
          <w:sz w:val="28"/>
        </w:rPr>
        <w:t xml:space="preserve"> 2026–2027 </w:t>
      </w:r>
      <w:r>
        <w:rPr>
          <w:sz w:val="28"/>
        </w:rPr>
        <w:t xml:space="preserve">годы </w:t>
      </w:r>
      <w:r>
        <w:rPr>
          <w:b/>
          <w:sz w:val="28"/>
        </w:rPr>
        <w:t>отсутствуют</w:t>
      </w:r>
      <w:r>
        <w:rPr>
          <w:sz w:val="28"/>
        </w:rPr>
        <w:t>.</w:t>
      </w:r>
    </w:p>
    <w:p w14:paraId="0B9FDC5B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1.8.</w:t>
      </w:r>
      <w:r>
        <w:rPr>
          <w:sz w:val="28"/>
        </w:rPr>
        <w:t xml:space="preserve"> Согласно законопроекту поступления </w:t>
      </w:r>
      <w:r>
        <w:rPr>
          <w:b/>
          <w:sz w:val="28"/>
        </w:rPr>
        <w:t>налога на игорный бизне</w:t>
      </w:r>
      <w:r>
        <w:rPr>
          <w:b/>
          <w:sz w:val="28"/>
        </w:rPr>
        <w:t>с</w:t>
      </w:r>
      <w:r>
        <w:rPr>
          <w:sz w:val="28"/>
        </w:rPr>
        <w:t xml:space="preserve"> в краевой бюджет составят: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687"/>
        <w:gridCol w:w="1536"/>
        <w:gridCol w:w="1581"/>
        <w:gridCol w:w="1612"/>
      </w:tblGrid>
      <w:tr w:rsidR="00735601" w14:paraId="28DD3319" w14:textId="77777777">
        <w:trPr>
          <w:trHeight w:val="225"/>
        </w:trPr>
        <w:tc>
          <w:tcPr>
            <w:tcW w:w="33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53DAB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lastRenderedPageBreak/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B7BD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B0C8C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34953EAB" w14:textId="77777777">
        <w:trPr>
          <w:trHeight w:val="225"/>
        </w:trPr>
        <w:tc>
          <w:tcPr>
            <w:tcW w:w="33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E108F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E2CEB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E0D95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C01A5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7DBBA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6342B64A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206A1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5268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452 160,0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3F34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452 160,0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4D7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452 160,0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D207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452 160,0</w:t>
            </w:r>
          </w:p>
        </w:tc>
      </w:tr>
      <w:tr w:rsidR="00735601" w14:paraId="15FE4FF5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81EE9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684F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7098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4B91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D5A4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</w:tr>
      <w:tr w:rsidR="00735601" w14:paraId="6F558149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E39E0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F385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31 368,7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4602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7A3D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5B60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35601" w14:paraId="0D29945A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DBDD6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89F5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107,5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6D72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C71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8A7C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</w:tbl>
    <w:p w14:paraId="0F2CFB5E" w14:textId="77777777" w:rsidR="00735601" w:rsidRDefault="006D0C58">
      <w:pPr>
        <w:pStyle w:val="Footnote"/>
        <w:ind w:firstLine="720"/>
        <w:jc w:val="both"/>
        <w:rPr>
          <w:sz w:val="28"/>
        </w:rPr>
      </w:pPr>
      <w:r>
        <w:rPr>
          <w:sz w:val="28"/>
        </w:rPr>
        <w:t xml:space="preserve">Расхождений с прогнозом УФНС не установлено. </w:t>
      </w:r>
    </w:p>
    <w:p w14:paraId="4BB4013E" w14:textId="77777777" w:rsidR="00735601" w:rsidRDefault="006D0C58">
      <w:pPr>
        <w:pStyle w:val="Footnote"/>
        <w:ind w:firstLine="720"/>
        <w:jc w:val="both"/>
        <w:rPr>
          <w:sz w:val="28"/>
        </w:rPr>
      </w:pPr>
      <w:r>
        <w:rPr>
          <w:b/>
          <w:sz w:val="28"/>
        </w:rPr>
        <w:t xml:space="preserve">Замечания и предложения </w:t>
      </w:r>
      <w:r>
        <w:rPr>
          <w:sz w:val="28"/>
        </w:rPr>
        <w:t>к</w:t>
      </w:r>
      <w:r>
        <w:rPr>
          <w:b/>
          <w:i/>
          <w:sz w:val="28"/>
        </w:rPr>
        <w:t xml:space="preserve"> </w:t>
      </w:r>
      <w:r>
        <w:rPr>
          <w:sz w:val="28"/>
        </w:rPr>
        <w:t xml:space="preserve">представленному расчету прогнозных поступлений доходов от налога на игорный бизнес </w:t>
      </w:r>
      <w:r>
        <w:rPr>
          <w:b/>
          <w:sz w:val="28"/>
        </w:rPr>
        <w:t>отсутствуют</w:t>
      </w:r>
      <w:r>
        <w:rPr>
          <w:sz w:val="28"/>
        </w:rPr>
        <w:t>.</w:t>
      </w:r>
    </w:p>
    <w:p w14:paraId="53A074EC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1.9.</w:t>
      </w:r>
      <w:r>
        <w:rPr>
          <w:i/>
          <w:sz w:val="28"/>
        </w:rPr>
        <w:t xml:space="preserve"> </w:t>
      </w:r>
      <w:r>
        <w:rPr>
          <w:sz w:val="28"/>
        </w:rPr>
        <w:t>По</w:t>
      </w:r>
      <w:r>
        <w:rPr>
          <w:b/>
          <w:sz w:val="28"/>
        </w:rPr>
        <w:t xml:space="preserve"> налогу на добычу полезных ископаемых </w:t>
      </w:r>
      <w:r>
        <w:rPr>
          <w:sz w:val="28"/>
        </w:rPr>
        <w:t xml:space="preserve">(далее – НДПИ) прогнозные доходы определены в следующих объемах: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687"/>
        <w:gridCol w:w="1536"/>
        <w:gridCol w:w="1581"/>
        <w:gridCol w:w="1612"/>
      </w:tblGrid>
      <w:tr w:rsidR="00735601" w14:paraId="403EAF5F" w14:textId="77777777">
        <w:trPr>
          <w:trHeight w:val="300"/>
        </w:trPr>
        <w:tc>
          <w:tcPr>
            <w:tcW w:w="33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273ED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61E0B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B68C2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632FE9F6" w14:textId="77777777">
        <w:trPr>
          <w:trHeight w:val="300"/>
        </w:trPr>
        <w:tc>
          <w:tcPr>
            <w:tcW w:w="33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AA1A2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7A0B0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C5BCD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2025 </w:t>
            </w:r>
            <w:r>
              <w:rPr>
                <w:b/>
                <w:color w:val="FFFFFF"/>
                <w:sz w:val="20"/>
              </w:rPr>
              <w:t>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A957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5202B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097FE3AF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F6220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44B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327 501,0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CC0D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339 534,0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F30A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341 435,0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A5F1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341 435,0</w:t>
            </w:r>
          </w:p>
        </w:tc>
      </w:tr>
      <w:tr w:rsidR="00735601" w14:paraId="142E71DC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65A1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75A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863C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8EC4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CA2C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</w:tr>
      <w:tr w:rsidR="00735601" w14:paraId="75EF075B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C12A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9439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20 945,6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3082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12 033,0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D2D5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1 901,0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0523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35601" w14:paraId="5B44EAB5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A262B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200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106,8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58A3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103,7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4EEC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100,6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8E6A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</w:tbl>
    <w:p w14:paraId="7DED0661" w14:textId="77777777" w:rsidR="00735601" w:rsidRDefault="006D0C58">
      <w:pPr>
        <w:ind w:firstLine="709"/>
        <w:jc w:val="both"/>
        <w:rPr>
          <w:color w:val="FB290D"/>
          <w:sz w:val="28"/>
        </w:rPr>
      </w:pPr>
      <w:r>
        <w:rPr>
          <w:sz w:val="28"/>
        </w:rPr>
        <w:t xml:space="preserve">Расхождений с прогнозом УФНС не установлено. </w:t>
      </w:r>
    </w:p>
    <w:p w14:paraId="091AB545" w14:textId="77777777" w:rsidR="00735601" w:rsidRDefault="006D0C58">
      <w:pPr>
        <w:ind w:firstLine="709"/>
        <w:jc w:val="both"/>
        <w:rPr>
          <w:color w:val="FB290D"/>
          <w:sz w:val="28"/>
        </w:rPr>
      </w:pPr>
      <w:r>
        <w:rPr>
          <w:sz w:val="28"/>
        </w:rPr>
        <w:t>В соответствии с представленным Минфином КК расчетом прогнозируемая стоимость добытых полезных ископаемых в 2025 году составит 7 764 676,0 тыс. рублей, в 2026 году – 7 823 082,0 тыс. рублей</w:t>
      </w:r>
      <w:r>
        <w:rPr>
          <w:sz w:val="26"/>
        </w:rPr>
        <w:t xml:space="preserve"> </w:t>
      </w:r>
      <w:r>
        <w:rPr>
          <w:i/>
        </w:rPr>
        <w:t>(рост – 100,7 %  к 2</w:t>
      </w:r>
      <w:r>
        <w:rPr>
          <w:i/>
        </w:rPr>
        <w:t>025 году)</w:t>
      </w:r>
      <w:r>
        <w:rPr>
          <w:sz w:val="28"/>
        </w:rPr>
        <w:t>,</w:t>
      </w:r>
      <w:r>
        <w:rPr>
          <w:sz w:val="26"/>
        </w:rPr>
        <w:t xml:space="preserve"> </w:t>
      </w:r>
      <w:r>
        <w:rPr>
          <w:sz w:val="28"/>
        </w:rPr>
        <w:t>в 2027 году –  823 082,0 тыс. рублей</w:t>
      </w:r>
      <w:r>
        <w:rPr>
          <w:i/>
          <w:sz w:val="28"/>
        </w:rPr>
        <w:t xml:space="preserve"> </w:t>
      </w:r>
      <w:r>
        <w:rPr>
          <w:i/>
        </w:rPr>
        <w:t>(рост 100,0 %)</w:t>
      </w:r>
      <w:r>
        <w:rPr>
          <w:sz w:val="28"/>
        </w:rPr>
        <w:t>.</w:t>
      </w:r>
      <w:r>
        <w:rPr>
          <w:i/>
          <w:color w:val="0000FF"/>
        </w:rPr>
        <w:t xml:space="preserve"> </w:t>
      </w:r>
    </w:p>
    <w:p w14:paraId="60A8DF9F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В то же время, по оценке </w:t>
      </w:r>
      <w:proofErr w:type="spellStart"/>
      <w:r>
        <w:rPr>
          <w:sz w:val="28"/>
        </w:rPr>
        <w:t>минэкономики</w:t>
      </w:r>
      <w:proofErr w:type="spellEnd"/>
      <w:r>
        <w:rPr>
          <w:sz w:val="28"/>
        </w:rPr>
        <w:t xml:space="preserve"> края, изложенной в пояснительной записке к прогнозу СЭР, в 2025 году рост индекса промышленного производства в добычи прочих полезных ископаемых ожидаетс</w:t>
      </w:r>
      <w:r>
        <w:rPr>
          <w:sz w:val="28"/>
        </w:rPr>
        <w:t xml:space="preserve">я на уровне 103,2 %. В последующие два года </w:t>
      </w:r>
      <w:r>
        <w:rPr>
          <w:i/>
        </w:rPr>
        <w:t xml:space="preserve">(2026-2027 годы) </w:t>
      </w:r>
      <w:r>
        <w:rPr>
          <w:sz w:val="28"/>
        </w:rPr>
        <w:t>ожидается нарастание индекса промышленного производства до 105,2 % и 106,6 %. Однако указанные сведения в расчете прогнозных значений по рассматриваемому виду доходов не учтены.</w:t>
      </w:r>
    </w:p>
    <w:p w14:paraId="4997C282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По мнению специал</w:t>
      </w:r>
      <w:r>
        <w:rPr>
          <w:sz w:val="28"/>
        </w:rPr>
        <w:t>истов КСП КК поступления в краевой бюджет</w:t>
      </w:r>
      <w:r>
        <w:rPr>
          <w:sz w:val="28"/>
        </w:rPr>
        <w:br/>
        <w:t>в 2024–2027 годах могут превысить ожидаемые поступления Минфина КК.</w:t>
      </w:r>
    </w:p>
    <w:p w14:paraId="5E0DD6B5" w14:textId="77777777" w:rsidR="00735601" w:rsidRDefault="006D0C58">
      <w:pPr>
        <w:ind w:firstLine="709"/>
        <w:jc w:val="both"/>
        <w:rPr>
          <w:i/>
        </w:rPr>
      </w:pPr>
      <w:r>
        <w:rPr>
          <w:sz w:val="28"/>
        </w:rPr>
        <w:t xml:space="preserve">Так, в Заключении от 14.10.2024 специалистами КСП КК указывалось, что </w:t>
      </w:r>
      <w:r>
        <w:rPr>
          <w:b/>
          <w:sz w:val="28"/>
        </w:rPr>
        <w:t>ожидаемые</w:t>
      </w:r>
      <w:r>
        <w:rPr>
          <w:sz w:val="28"/>
        </w:rPr>
        <w:t xml:space="preserve"> поступления по НДПИ</w:t>
      </w:r>
      <w:r>
        <w:rPr>
          <w:b/>
          <w:sz w:val="28"/>
        </w:rPr>
        <w:t xml:space="preserve"> в 2024 году могут составить 361 873,0 тыс. рублей, что на 34 372,0 тыс. рублей больше </w:t>
      </w:r>
      <w:r>
        <w:rPr>
          <w:sz w:val="28"/>
        </w:rPr>
        <w:t xml:space="preserve">установленных плановых назначений по данному налогу </w:t>
      </w:r>
      <w:r>
        <w:rPr>
          <w:i/>
        </w:rPr>
        <w:t>(327 501,0 тыс. рублей)</w:t>
      </w:r>
      <w:r>
        <w:rPr>
          <w:sz w:val="28"/>
        </w:rPr>
        <w:t xml:space="preserve"> </w:t>
      </w:r>
    </w:p>
    <w:p w14:paraId="53F2C3A8" w14:textId="77777777" w:rsidR="00735601" w:rsidRDefault="006D0C58">
      <w:pPr>
        <w:ind w:firstLine="709"/>
        <w:jc w:val="both"/>
        <w:rPr>
          <w:sz w:val="26"/>
        </w:rPr>
      </w:pPr>
      <w:r>
        <w:rPr>
          <w:sz w:val="28"/>
        </w:rPr>
        <w:t>По оценке специалистов КСП КК, исходя из расчетного объема поступлений по НДПИ за 2024 год</w:t>
      </w:r>
      <w:r>
        <w:rPr>
          <w:sz w:val="26"/>
        </w:rPr>
        <w:t>,</w:t>
      </w:r>
      <w:r>
        <w:rPr>
          <w:color w:val="0000FF"/>
          <w:sz w:val="26"/>
        </w:rPr>
        <w:t xml:space="preserve"> </w:t>
      </w:r>
      <w:r>
        <w:rPr>
          <w:sz w:val="28"/>
        </w:rPr>
        <w:t xml:space="preserve">с учетом индекса промышленного производства, определенного </w:t>
      </w:r>
      <w:proofErr w:type="spellStart"/>
      <w:r>
        <w:rPr>
          <w:sz w:val="28"/>
        </w:rPr>
        <w:t>минэкономики</w:t>
      </w:r>
      <w:proofErr w:type="spellEnd"/>
      <w:r>
        <w:rPr>
          <w:sz w:val="28"/>
        </w:rPr>
        <w:t xml:space="preserve"> края при добыче полезных ископаемых</w:t>
      </w:r>
      <w:r>
        <w:rPr>
          <w:color w:val="0000FF"/>
          <w:sz w:val="28"/>
        </w:rPr>
        <w:t xml:space="preserve"> </w:t>
      </w:r>
      <w:r>
        <w:rPr>
          <w:i/>
        </w:rPr>
        <w:t>(на уровне 103,2 %)</w:t>
      </w:r>
      <w:r>
        <w:rPr>
          <w:sz w:val="26"/>
        </w:rPr>
        <w:t xml:space="preserve">, </w:t>
      </w:r>
      <w:r>
        <w:rPr>
          <w:b/>
          <w:sz w:val="28"/>
        </w:rPr>
        <w:t>объем доходов</w:t>
      </w:r>
      <w:r>
        <w:rPr>
          <w:sz w:val="28"/>
        </w:rPr>
        <w:t xml:space="preserve"> по данному налогу </w:t>
      </w:r>
      <w:r>
        <w:rPr>
          <w:b/>
          <w:sz w:val="28"/>
        </w:rPr>
        <w:t xml:space="preserve">в 2025 году </w:t>
      </w:r>
      <w:proofErr w:type="spellStart"/>
      <w:r>
        <w:rPr>
          <w:b/>
          <w:sz w:val="28"/>
        </w:rPr>
        <w:t>расчетно</w:t>
      </w:r>
      <w:proofErr w:type="spellEnd"/>
      <w:r>
        <w:rPr>
          <w:b/>
          <w:sz w:val="28"/>
        </w:rPr>
        <w:t xml:space="preserve"> составит 373 453,0 тыс. рублей</w:t>
      </w:r>
      <w:r>
        <w:rPr>
          <w:sz w:val="28"/>
        </w:rPr>
        <w:t xml:space="preserve"> </w:t>
      </w:r>
      <w:r>
        <w:rPr>
          <w:i/>
        </w:rPr>
        <w:t>(361 873,0 тыс. руб. *103,2%)</w:t>
      </w:r>
      <w:r>
        <w:rPr>
          <w:sz w:val="28"/>
        </w:rPr>
        <w:t xml:space="preserve">, </w:t>
      </w:r>
      <w:r>
        <w:rPr>
          <w:b/>
          <w:sz w:val="28"/>
        </w:rPr>
        <w:t>что превышае</w:t>
      </w:r>
      <w:r>
        <w:rPr>
          <w:b/>
          <w:sz w:val="28"/>
        </w:rPr>
        <w:t>т объем</w:t>
      </w:r>
      <w:r>
        <w:rPr>
          <w:sz w:val="28"/>
        </w:rPr>
        <w:t xml:space="preserve"> прогнозных поступлений </w:t>
      </w:r>
      <w:r>
        <w:rPr>
          <w:b/>
          <w:sz w:val="28"/>
        </w:rPr>
        <w:t xml:space="preserve">законопроекта </w:t>
      </w:r>
      <w:r>
        <w:rPr>
          <w:i/>
        </w:rPr>
        <w:t xml:space="preserve">(339 534,0 тыс. рублей) </w:t>
      </w:r>
      <w:r>
        <w:rPr>
          <w:b/>
          <w:sz w:val="28"/>
        </w:rPr>
        <w:t>на 33 919,0 тыс. рублей</w:t>
      </w:r>
      <w:r>
        <w:rPr>
          <w:sz w:val="28"/>
        </w:rPr>
        <w:t>.</w:t>
      </w:r>
    </w:p>
    <w:p w14:paraId="2348DF12" w14:textId="77777777" w:rsidR="00735601" w:rsidRDefault="006D0C58">
      <w:pPr>
        <w:ind w:firstLine="709"/>
        <w:jc w:val="both"/>
        <w:rPr>
          <w:sz w:val="26"/>
        </w:rPr>
      </w:pPr>
      <w:r>
        <w:rPr>
          <w:b/>
          <w:sz w:val="28"/>
        </w:rPr>
        <w:t>На 2026 год</w:t>
      </w:r>
      <w:r>
        <w:rPr>
          <w:sz w:val="28"/>
        </w:rPr>
        <w:t xml:space="preserve"> объем поступлений составит </w:t>
      </w:r>
      <w:r>
        <w:rPr>
          <w:b/>
          <w:sz w:val="28"/>
        </w:rPr>
        <w:t>392 872,0 тыс. рублей</w:t>
      </w:r>
      <w:r>
        <w:rPr>
          <w:sz w:val="28"/>
        </w:rPr>
        <w:t xml:space="preserve"> </w:t>
      </w:r>
      <w:r>
        <w:rPr>
          <w:i/>
        </w:rPr>
        <w:t>(373 453,0 тыс. рублей*105,2 %)</w:t>
      </w:r>
      <w:r>
        <w:rPr>
          <w:sz w:val="28"/>
        </w:rPr>
        <w:t>,</w:t>
      </w:r>
      <w:r>
        <w:rPr>
          <w:i/>
        </w:rPr>
        <w:t xml:space="preserve"> </w:t>
      </w:r>
      <w:r>
        <w:rPr>
          <w:sz w:val="28"/>
        </w:rPr>
        <w:t xml:space="preserve">что </w:t>
      </w:r>
      <w:r>
        <w:rPr>
          <w:b/>
          <w:sz w:val="28"/>
        </w:rPr>
        <w:t>больше законопроекта</w:t>
      </w:r>
      <w:r>
        <w:rPr>
          <w:sz w:val="28"/>
        </w:rPr>
        <w:t xml:space="preserve"> </w:t>
      </w:r>
      <w:r>
        <w:rPr>
          <w:i/>
        </w:rPr>
        <w:t>(341 435,0 тыс. рублей)</w:t>
      </w:r>
      <w:r>
        <w:rPr>
          <w:sz w:val="26"/>
        </w:rPr>
        <w:t xml:space="preserve"> </w:t>
      </w:r>
      <w:r>
        <w:rPr>
          <w:b/>
          <w:sz w:val="28"/>
        </w:rPr>
        <w:t>на 51 437,0 тыс. ру</w:t>
      </w:r>
      <w:r>
        <w:rPr>
          <w:b/>
          <w:sz w:val="28"/>
        </w:rPr>
        <w:t>блей</w:t>
      </w:r>
      <w:r>
        <w:rPr>
          <w:sz w:val="26"/>
        </w:rPr>
        <w:t>.</w:t>
      </w:r>
    </w:p>
    <w:p w14:paraId="3DA2839D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sz w:val="28"/>
        </w:rPr>
        <w:lastRenderedPageBreak/>
        <w:t>На 2027 год</w:t>
      </w:r>
      <w:r>
        <w:rPr>
          <w:sz w:val="28"/>
        </w:rPr>
        <w:t xml:space="preserve"> –</w:t>
      </w:r>
      <w:r>
        <w:rPr>
          <w:b/>
          <w:sz w:val="28"/>
        </w:rPr>
        <w:t xml:space="preserve"> 418 801,0 тыс. рублей</w:t>
      </w:r>
      <w:r>
        <w:rPr>
          <w:sz w:val="28"/>
        </w:rPr>
        <w:t xml:space="preserve"> </w:t>
      </w:r>
      <w:r>
        <w:rPr>
          <w:i/>
        </w:rPr>
        <w:t xml:space="preserve">(392 872,0 тыс. рублей*106,6 %) </w:t>
      </w:r>
      <w:r>
        <w:rPr>
          <w:b/>
          <w:sz w:val="28"/>
        </w:rPr>
        <w:t>или на</w:t>
      </w:r>
      <w:r>
        <w:rPr>
          <w:sz w:val="28"/>
        </w:rPr>
        <w:t xml:space="preserve"> </w:t>
      </w:r>
      <w:r>
        <w:rPr>
          <w:b/>
          <w:sz w:val="28"/>
        </w:rPr>
        <w:t>77 366,0</w:t>
      </w:r>
      <w:r>
        <w:rPr>
          <w:sz w:val="28"/>
        </w:rPr>
        <w:t xml:space="preserve"> </w:t>
      </w:r>
      <w:r>
        <w:rPr>
          <w:b/>
          <w:sz w:val="28"/>
        </w:rPr>
        <w:t>тыс. рублей также больше законопроекта</w:t>
      </w:r>
      <w:r>
        <w:rPr>
          <w:sz w:val="28"/>
        </w:rPr>
        <w:t xml:space="preserve"> </w:t>
      </w:r>
      <w:r>
        <w:rPr>
          <w:i/>
        </w:rPr>
        <w:t>(341 435,0 тыс. рублей)</w:t>
      </w:r>
      <w:r>
        <w:rPr>
          <w:sz w:val="28"/>
        </w:rPr>
        <w:t>.</w:t>
      </w:r>
    </w:p>
    <w:p w14:paraId="1EA00237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b/>
          <w:i/>
          <w:sz w:val="28"/>
        </w:rPr>
        <w:t>1.10.</w:t>
      </w:r>
      <w:r>
        <w:rPr>
          <w:i/>
          <w:sz w:val="28"/>
        </w:rPr>
        <w:t xml:space="preserve"> </w:t>
      </w:r>
      <w:r>
        <w:rPr>
          <w:sz w:val="28"/>
        </w:rPr>
        <w:t xml:space="preserve">По </w:t>
      </w:r>
      <w:r>
        <w:rPr>
          <w:b/>
          <w:sz w:val="28"/>
        </w:rPr>
        <w:t xml:space="preserve">сборам за пользование объектами животного мира и за пользование объектами водных </w:t>
      </w:r>
      <w:r>
        <w:rPr>
          <w:b/>
          <w:sz w:val="28"/>
        </w:rPr>
        <w:t>биологических ресурсов</w:t>
      </w:r>
      <w:r>
        <w:rPr>
          <w:sz w:val="28"/>
        </w:rPr>
        <w:t xml:space="preserve"> доходы прогнозируются в следующих объемах: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687"/>
        <w:gridCol w:w="1536"/>
        <w:gridCol w:w="1581"/>
        <w:gridCol w:w="1612"/>
      </w:tblGrid>
      <w:tr w:rsidR="00735601" w14:paraId="7C5FC55D" w14:textId="77777777">
        <w:trPr>
          <w:trHeight w:val="223"/>
        </w:trPr>
        <w:tc>
          <w:tcPr>
            <w:tcW w:w="33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1CC32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3A0A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74F07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7DC9E3EF" w14:textId="77777777">
        <w:trPr>
          <w:trHeight w:val="300"/>
        </w:trPr>
        <w:tc>
          <w:tcPr>
            <w:tcW w:w="33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36A83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9E274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16530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3E111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E21F7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7BBCAB2D" w14:textId="77777777">
        <w:trPr>
          <w:trHeight w:val="224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A348C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A7E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8 372,0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99A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8 954,0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10E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9 581,0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81A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10 256,0</w:t>
            </w:r>
          </w:p>
        </w:tc>
      </w:tr>
      <w:tr w:rsidR="00735601" w14:paraId="720AC29D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FDBAE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B5F4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0,002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3020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0,002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B61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0,002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F81F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0,002</w:t>
            </w:r>
          </w:p>
        </w:tc>
      </w:tr>
      <w:tr w:rsidR="00735601" w14:paraId="531DAF8C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8FCF8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 xml:space="preserve">к </w:t>
            </w:r>
            <w:r>
              <w:rPr>
                <w:sz w:val="20"/>
              </w:rPr>
              <w:t>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D7A5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334,7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BAB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582,0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7E20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627,0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688E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675,0</w:t>
            </w:r>
          </w:p>
        </w:tc>
      </w:tr>
      <w:tr w:rsidR="00735601" w14:paraId="3A570F19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7436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B1A1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104,2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5332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107,0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6BF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107,0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27B7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107,0</w:t>
            </w:r>
          </w:p>
        </w:tc>
      </w:tr>
    </w:tbl>
    <w:p w14:paraId="38EAF285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Расхождений с прогнозом УФНС не установлено. </w:t>
      </w:r>
    </w:p>
    <w:p w14:paraId="2866BA40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b/>
          <w:sz w:val="28"/>
        </w:rPr>
        <w:t xml:space="preserve">Предложения </w:t>
      </w:r>
      <w:r>
        <w:rPr>
          <w:sz w:val="28"/>
        </w:rPr>
        <w:t>по корректировке плановых назначений на 2025–2027 годы</w:t>
      </w:r>
      <w:r>
        <w:rPr>
          <w:b/>
          <w:sz w:val="28"/>
        </w:rPr>
        <w:t xml:space="preserve"> отсутствуют</w:t>
      </w:r>
      <w:r>
        <w:rPr>
          <w:sz w:val="28"/>
        </w:rPr>
        <w:t>.</w:t>
      </w:r>
    </w:p>
    <w:p w14:paraId="0803EC3D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b/>
          <w:i/>
          <w:sz w:val="28"/>
        </w:rPr>
        <w:t>1.11.</w:t>
      </w:r>
      <w:r>
        <w:rPr>
          <w:sz w:val="28"/>
        </w:rPr>
        <w:t xml:space="preserve"> Поступление </w:t>
      </w:r>
      <w:r>
        <w:rPr>
          <w:b/>
          <w:sz w:val="28"/>
        </w:rPr>
        <w:t>государственной пошлины</w:t>
      </w:r>
      <w:r>
        <w:rPr>
          <w:sz w:val="28"/>
        </w:rPr>
        <w:t xml:space="preserve"> прогнозируется: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687"/>
        <w:gridCol w:w="1536"/>
        <w:gridCol w:w="1581"/>
        <w:gridCol w:w="1612"/>
      </w:tblGrid>
      <w:tr w:rsidR="00735601" w14:paraId="79987E01" w14:textId="77777777">
        <w:trPr>
          <w:trHeight w:val="200"/>
        </w:trPr>
        <w:tc>
          <w:tcPr>
            <w:tcW w:w="33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AA27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7CC47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4B534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6C959C11" w14:textId="77777777">
        <w:trPr>
          <w:trHeight w:val="300"/>
        </w:trPr>
        <w:tc>
          <w:tcPr>
            <w:tcW w:w="33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6DEB4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A806C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91B2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00DB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C84F6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71B53138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13C0D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98C92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1 123 554,0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2B2A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5 206 569,8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D776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5 220 703,8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B95F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5 225 830,2</w:t>
            </w:r>
          </w:p>
        </w:tc>
      </w:tr>
      <w:tr w:rsidR="00735601" w14:paraId="41030731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E215C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2B58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B574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1,2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0516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1,2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0AE7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1,1</w:t>
            </w:r>
          </w:p>
        </w:tc>
      </w:tr>
      <w:tr w:rsidR="00735601" w14:paraId="03555D11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C076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 xml:space="preserve">к </w:t>
            </w:r>
            <w:r>
              <w:rPr>
                <w:sz w:val="20"/>
              </w:rPr>
              <w:t>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F4AA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-97 305,1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FD61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4 083 015,8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4052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14 134,0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6346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5 126,4</w:t>
            </w:r>
          </w:p>
        </w:tc>
      </w:tr>
      <w:tr w:rsidR="00735601" w14:paraId="016F247D" w14:textId="77777777">
        <w:trPr>
          <w:trHeight w:val="300"/>
        </w:trPr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FC23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8B5F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92,0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8A64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463,4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F054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100,3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B0DD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100,1</w:t>
            </w:r>
          </w:p>
        </w:tc>
      </w:tr>
    </w:tbl>
    <w:p w14:paraId="1FD77D0B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Поступления государственной пошлины прогнозируются по 10 главным администраторам, из которых 6 – ОИВ края. Выборочной проверкой расхождений прогнозных значений в разрезе ОИВ края с представленными ими данными не установлено. Существенный рост прогнозируемы</w:t>
      </w:r>
      <w:r>
        <w:rPr>
          <w:sz w:val="28"/>
        </w:rPr>
        <w:t>х доходов на 2025 год по сравнению с ожидаемыми поступлениями в 2024 году обусловлен внесением изменений в законодательство</w:t>
      </w:r>
      <w:r>
        <w:rPr>
          <w:sz w:val="28"/>
          <w:vertAlign w:val="superscript"/>
        </w:rPr>
        <w:footnoteReference w:id="19"/>
      </w:r>
      <w:r>
        <w:rPr>
          <w:sz w:val="28"/>
        </w:rPr>
        <w:t xml:space="preserve">, согласно которым с 01.01.2025 увеличиваются размеры отдельных видов государственной пошлины, в частности </w:t>
      </w:r>
      <w:r>
        <w:rPr>
          <w:sz w:val="28"/>
        </w:rPr>
        <w:t>за государственную регис</w:t>
      </w:r>
      <w:r>
        <w:rPr>
          <w:sz w:val="28"/>
        </w:rPr>
        <w:t>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регистрации.</w:t>
      </w:r>
    </w:p>
    <w:p w14:paraId="28E4DA3A" w14:textId="77777777" w:rsidR="00735601" w:rsidRDefault="006D0C58">
      <w:pPr>
        <w:spacing w:line="228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Предложения </w:t>
      </w:r>
      <w:r>
        <w:rPr>
          <w:sz w:val="28"/>
        </w:rPr>
        <w:t>по корректировке плановых назначений</w:t>
      </w:r>
      <w:r>
        <w:rPr>
          <w:sz w:val="28"/>
        </w:rPr>
        <w:br/>
        <w:t>на 2025–2027 годы</w:t>
      </w:r>
      <w:r>
        <w:rPr>
          <w:b/>
          <w:sz w:val="28"/>
        </w:rPr>
        <w:t xml:space="preserve"> отсутствуют</w:t>
      </w:r>
      <w:r>
        <w:rPr>
          <w:sz w:val="28"/>
        </w:rPr>
        <w:t>.</w:t>
      </w:r>
    </w:p>
    <w:p w14:paraId="6E94B022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1.12.</w:t>
      </w:r>
      <w:r>
        <w:rPr>
          <w:b/>
          <w:sz w:val="28"/>
        </w:rPr>
        <w:t xml:space="preserve"> </w:t>
      </w:r>
      <w:r>
        <w:rPr>
          <w:sz w:val="28"/>
        </w:rPr>
        <w:t xml:space="preserve">Таким образом, </w:t>
      </w:r>
      <w:r>
        <w:rPr>
          <w:sz w:val="28"/>
        </w:rPr>
        <w:t>по ре</w:t>
      </w:r>
      <w:r>
        <w:rPr>
          <w:sz w:val="28"/>
        </w:rPr>
        <w:t>зультатам анализа обоснованности расчетов прогнозных доходов установлено, что по отдельным видам налоговых доходов Минфином КК не учтены принятые и планируемые к принятию законодательные акты, которыми вносятся изменения в налоговое и бюджетное законо</w:t>
      </w:r>
      <w:r>
        <w:rPr>
          <w:sz w:val="28"/>
        </w:rPr>
        <w:t>дательство, а также не в полной мере учтены актуальные данные ожидаемых итогов СЭР КК в 2024 году и Прогноза СЭР на 2025 год и плановый период 2026–2027 годов.</w:t>
      </w:r>
    </w:p>
    <w:p w14:paraId="5935EE5D" w14:textId="77777777" w:rsidR="00735601" w:rsidRDefault="006D0C58">
      <w:pPr>
        <w:ind w:firstLine="709"/>
        <w:jc w:val="both"/>
        <w:rPr>
          <w:b/>
          <w:sz w:val="28"/>
        </w:rPr>
      </w:pPr>
      <w:r>
        <w:rPr>
          <w:color w:val="0070C0"/>
          <w:sz w:val="28"/>
        </w:rPr>
        <w:t>►</w:t>
      </w:r>
      <w:r>
        <w:rPr>
          <w:sz w:val="28"/>
        </w:rPr>
        <w:t xml:space="preserve">Исходя из изложенного, </w:t>
      </w:r>
      <w:r>
        <w:rPr>
          <w:b/>
          <w:sz w:val="28"/>
        </w:rPr>
        <w:t>прогноз налоговых доходов может быть увеличен (резервы):</w:t>
      </w:r>
    </w:p>
    <w:p w14:paraId="05065E80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в 2025 году на</w:t>
      </w:r>
      <w:r>
        <w:rPr>
          <w:b/>
          <w:sz w:val="28"/>
        </w:rPr>
        <w:t xml:space="preserve"> </w:t>
      </w:r>
      <w:r>
        <w:rPr>
          <w:b/>
          <w:sz w:val="28"/>
        </w:rPr>
        <w:t xml:space="preserve">6 307 414,0 </w:t>
      </w:r>
      <w:r>
        <w:rPr>
          <w:sz w:val="28"/>
        </w:rPr>
        <w:t>тыс. рублей;</w:t>
      </w:r>
    </w:p>
    <w:p w14:paraId="6063F983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в 2026 году на </w:t>
      </w:r>
      <w:r>
        <w:rPr>
          <w:b/>
          <w:sz w:val="28"/>
        </w:rPr>
        <w:t>8 996 429,0</w:t>
      </w:r>
      <w:r>
        <w:rPr>
          <w:sz w:val="28"/>
        </w:rPr>
        <w:t xml:space="preserve"> тыс. рублей;</w:t>
      </w:r>
    </w:p>
    <w:p w14:paraId="76680C73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в 2027 году на </w:t>
      </w:r>
      <w:r>
        <w:rPr>
          <w:b/>
          <w:sz w:val="28"/>
        </w:rPr>
        <w:t>8 350 926,0</w:t>
      </w:r>
      <w:r>
        <w:rPr>
          <w:sz w:val="28"/>
        </w:rPr>
        <w:t> тыс. рублей.</w:t>
      </w:r>
    </w:p>
    <w:p w14:paraId="10B28D45" w14:textId="77777777" w:rsidR="00735601" w:rsidRDefault="006D0C58">
      <w:pPr>
        <w:spacing w:before="60"/>
        <w:ind w:firstLine="709"/>
        <w:jc w:val="right"/>
      </w:pPr>
      <w:r>
        <w:t>тыс. рублей</w:t>
      </w:r>
    </w:p>
    <w:tbl>
      <w:tblPr>
        <w:tblW w:w="0" w:type="auto"/>
        <w:tblInd w:w="108" w:type="dxa"/>
        <w:tblBorders>
          <w:top w:val="single" w:sz="6" w:space="0" w:color="365F91" w:themeColor="accent1" w:themeShade="BF"/>
          <w:left w:val="single" w:sz="6" w:space="0" w:color="365F91" w:themeColor="accent1" w:themeShade="BF"/>
          <w:bottom w:val="single" w:sz="6" w:space="0" w:color="365F91" w:themeColor="accent1" w:themeShade="BF"/>
          <w:right w:val="single" w:sz="6" w:space="0" w:color="365F91" w:themeColor="accent1" w:themeShade="BF"/>
          <w:insideH w:val="single" w:sz="6" w:space="0" w:color="365F91" w:themeColor="accent1" w:themeShade="BF"/>
          <w:insideV w:val="single" w:sz="6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701"/>
        <w:gridCol w:w="1701"/>
        <w:gridCol w:w="1559"/>
      </w:tblGrid>
      <w:tr w:rsidR="00735601" w14:paraId="10CC7CA1" w14:textId="77777777">
        <w:trPr>
          <w:trHeight w:val="200"/>
        </w:trPr>
        <w:tc>
          <w:tcPr>
            <w:tcW w:w="467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365F91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23C5A" w14:textId="77777777" w:rsidR="00735601" w:rsidRDefault="006D0C58">
            <w:pPr>
              <w:jc w:val="center"/>
              <w:rPr>
                <w:b/>
                <w:color w:val="FFFFFF" w:themeColor="background1"/>
                <w:sz w:val="20"/>
              </w:rPr>
            </w:pPr>
            <w:r>
              <w:rPr>
                <w:b/>
                <w:color w:val="FFFFFF" w:themeColor="background1"/>
                <w:sz w:val="2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365F91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20994" w14:textId="77777777" w:rsidR="00735601" w:rsidRDefault="006D0C58">
            <w:pPr>
              <w:jc w:val="center"/>
              <w:rPr>
                <w:b/>
                <w:color w:val="FFFFFF" w:themeColor="background1"/>
                <w:sz w:val="20"/>
              </w:rPr>
            </w:pPr>
            <w:r>
              <w:rPr>
                <w:b/>
                <w:color w:val="FFFFFF" w:themeColor="background1"/>
                <w:sz w:val="20"/>
              </w:rPr>
              <w:t>2025</w:t>
            </w:r>
          </w:p>
        </w:tc>
        <w:tc>
          <w:tcPr>
            <w:tcW w:w="1701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365F91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67E81" w14:textId="77777777" w:rsidR="00735601" w:rsidRDefault="006D0C58">
            <w:pPr>
              <w:jc w:val="center"/>
              <w:rPr>
                <w:b/>
                <w:color w:val="FFFFFF" w:themeColor="background1"/>
                <w:sz w:val="20"/>
              </w:rPr>
            </w:pPr>
            <w:r>
              <w:rPr>
                <w:b/>
                <w:color w:val="FFFFFF" w:themeColor="background1"/>
                <w:sz w:val="20"/>
              </w:rPr>
              <w:t>2026</w:t>
            </w:r>
          </w:p>
        </w:tc>
        <w:tc>
          <w:tcPr>
            <w:tcW w:w="1559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365F91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11EC" w14:textId="77777777" w:rsidR="00735601" w:rsidRDefault="006D0C58">
            <w:pPr>
              <w:jc w:val="center"/>
              <w:rPr>
                <w:b/>
                <w:color w:val="FFFFFF" w:themeColor="background1"/>
                <w:sz w:val="20"/>
              </w:rPr>
            </w:pPr>
            <w:r>
              <w:rPr>
                <w:b/>
                <w:color w:val="FFFFFF" w:themeColor="background1"/>
                <w:sz w:val="20"/>
              </w:rPr>
              <w:t>2027</w:t>
            </w:r>
          </w:p>
        </w:tc>
      </w:tr>
      <w:tr w:rsidR="00735601" w14:paraId="7B94EA0F" w14:textId="77777777">
        <w:trPr>
          <w:trHeight w:val="200"/>
        </w:trPr>
        <w:tc>
          <w:tcPr>
            <w:tcW w:w="4678" w:type="dxa"/>
            <w:tcBorders>
              <w:top w:val="single" w:sz="6" w:space="0" w:color="FFFFFF" w:themeColor="background1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5E390" w14:textId="77777777" w:rsidR="00735601" w:rsidRDefault="006D0C58">
            <w:pPr>
              <w:jc w:val="both"/>
            </w:pPr>
            <w:r>
              <w:t>Налог на прибыль организаций</w:t>
            </w:r>
          </w:p>
        </w:tc>
        <w:tc>
          <w:tcPr>
            <w:tcW w:w="1701" w:type="dxa"/>
            <w:tcBorders>
              <w:top w:val="single" w:sz="6" w:space="0" w:color="FFFFFF" w:themeColor="background1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7D232" w14:textId="77777777" w:rsidR="00735601" w:rsidRDefault="006D0C58">
            <w:pPr>
              <w:jc w:val="center"/>
            </w:pPr>
            <w:r>
              <w:t>-5 967 118,0</w:t>
            </w:r>
          </w:p>
        </w:tc>
        <w:tc>
          <w:tcPr>
            <w:tcW w:w="1701" w:type="dxa"/>
            <w:tcBorders>
              <w:top w:val="single" w:sz="6" w:space="0" w:color="FFFFFF" w:themeColor="background1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79B8F" w14:textId="77777777" w:rsidR="00735601" w:rsidRDefault="006D0C58">
            <w:pPr>
              <w:jc w:val="center"/>
            </w:pPr>
            <w:r>
              <w:t>-5 917 355,0</w:t>
            </w:r>
          </w:p>
        </w:tc>
        <w:tc>
          <w:tcPr>
            <w:tcW w:w="1559" w:type="dxa"/>
            <w:tcBorders>
              <w:top w:val="single" w:sz="6" w:space="0" w:color="FFFFFF" w:themeColor="background1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79D29" w14:textId="77777777" w:rsidR="00735601" w:rsidRDefault="006D0C58">
            <w:pPr>
              <w:jc w:val="center"/>
            </w:pPr>
            <w:r>
              <w:t>-7 329 518,0</w:t>
            </w:r>
          </w:p>
        </w:tc>
      </w:tr>
      <w:tr w:rsidR="00735601" w14:paraId="3E334F82" w14:textId="77777777">
        <w:trPr>
          <w:trHeight w:val="200"/>
        </w:trPr>
        <w:tc>
          <w:tcPr>
            <w:tcW w:w="4678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43C2F" w14:textId="77777777" w:rsidR="00735601" w:rsidRDefault="006D0C58">
            <w:pPr>
              <w:jc w:val="both"/>
            </w:pPr>
            <w:r>
              <w:t xml:space="preserve">Налог на доходы </w:t>
            </w:r>
            <w:r>
              <w:t>физических лиц</w:t>
            </w:r>
          </w:p>
        </w:tc>
        <w:tc>
          <w:tcPr>
            <w:tcW w:w="1701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59EEE" w14:textId="77777777" w:rsidR="00735601" w:rsidRDefault="006D0C58">
            <w:pPr>
              <w:jc w:val="center"/>
            </w:pPr>
            <w:r>
              <w:t>6 307 939,0</w:t>
            </w:r>
          </w:p>
        </w:tc>
        <w:tc>
          <w:tcPr>
            <w:tcW w:w="1701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EF1B8" w14:textId="77777777" w:rsidR="00735601" w:rsidRDefault="006D0C58">
            <w:pPr>
              <w:jc w:val="center"/>
            </w:pPr>
            <w:r>
              <w:t>9 696 454,0</w:t>
            </w:r>
          </w:p>
        </w:tc>
        <w:tc>
          <w:tcPr>
            <w:tcW w:w="1559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BF0D8" w14:textId="77777777" w:rsidR="00735601" w:rsidRDefault="006D0C58">
            <w:pPr>
              <w:jc w:val="center"/>
            </w:pPr>
            <w:r>
              <w:t>10 519 225,0</w:t>
            </w:r>
          </w:p>
        </w:tc>
      </w:tr>
      <w:tr w:rsidR="00735601" w14:paraId="0C07081D" w14:textId="77777777">
        <w:trPr>
          <w:trHeight w:val="200"/>
        </w:trPr>
        <w:tc>
          <w:tcPr>
            <w:tcW w:w="4678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FB2D" w14:textId="77777777" w:rsidR="00735601" w:rsidRDefault="006D0C58">
            <w:pPr>
              <w:jc w:val="both"/>
            </w:pPr>
            <w:r>
              <w:t>Акцизы по подакцизным товарам (продукции), производимым на территории РФ</w:t>
            </w:r>
          </w:p>
        </w:tc>
        <w:tc>
          <w:tcPr>
            <w:tcW w:w="1701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9DC17" w14:textId="77777777" w:rsidR="00735601" w:rsidRDefault="006D0C58">
            <w:pPr>
              <w:jc w:val="center"/>
            </w:pPr>
            <w:r>
              <w:t>5 434 975,0</w:t>
            </w:r>
          </w:p>
        </w:tc>
        <w:tc>
          <w:tcPr>
            <w:tcW w:w="1701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D4A08" w14:textId="77777777" w:rsidR="00735601" w:rsidRDefault="006D0C58">
            <w:pPr>
              <w:jc w:val="center"/>
            </w:pPr>
            <w:r>
              <w:t>5 184 153,0</w:t>
            </w:r>
          </w:p>
        </w:tc>
        <w:tc>
          <w:tcPr>
            <w:tcW w:w="1559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DC90F" w14:textId="77777777" w:rsidR="00735601" w:rsidRDefault="006D0C58">
            <w:pPr>
              <w:jc w:val="center"/>
            </w:pPr>
            <w:r>
              <w:t>5 098 291,0</w:t>
            </w:r>
          </w:p>
        </w:tc>
      </w:tr>
      <w:tr w:rsidR="00735601" w14:paraId="643FFB34" w14:textId="77777777">
        <w:trPr>
          <w:trHeight w:val="200"/>
        </w:trPr>
        <w:tc>
          <w:tcPr>
            <w:tcW w:w="4678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F4D7" w14:textId="77777777" w:rsidR="00735601" w:rsidRDefault="006D0C58">
            <w:pPr>
              <w:jc w:val="both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38758" w14:textId="77777777" w:rsidR="00735601" w:rsidRDefault="006D0C58">
            <w:pPr>
              <w:jc w:val="center"/>
            </w:pPr>
            <w:r>
              <w:t>-3 351,0</w:t>
            </w:r>
          </w:p>
        </w:tc>
        <w:tc>
          <w:tcPr>
            <w:tcW w:w="1701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E707" w14:textId="77777777" w:rsidR="00735601" w:rsidRDefault="006D0C58">
            <w:pPr>
              <w:jc w:val="center"/>
            </w:pPr>
            <w:r>
              <w:t>-18 260,0</w:t>
            </w:r>
          </w:p>
        </w:tc>
        <w:tc>
          <w:tcPr>
            <w:tcW w:w="1559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AC9E5" w14:textId="77777777" w:rsidR="00735601" w:rsidRDefault="006D0C58">
            <w:pPr>
              <w:jc w:val="center"/>
            </w:pPr>
            <w:r>
              <w:t>-14 438,0</w:t>
            </w:r>
          </w:p>
        </w:tc>
      </w:tr>
      <w:tr w:rsidR="00735601" w14:paraId="1BE00B5F" w14:textId="77777777">
        <w:trPr>
          <w:trHeight w:val="200"/>
        </w:trPr>
        <w:tc>
          <w:tcPr>
            <w:tcW w:w="4678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EFC2" w14:textId="77777777" w:rsidR="00735601" w:rsidRDefault="006D0C58">
            <w:pPr>
              <w:jc w:val="both"/>
            </w:pPr>
            <w:r>
              <w:t>Налог на профессиональный доход</w:t>
            </w:r>
          </w:p>
        </w:tc>
        <w:tc>
          <w:tcPr>
            <w:tcW w:w="1701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E8E3D" w14:textId="77777777" w:rsidR="00735601" w:rsidRDefault="006D0C58">
            <w:pPr>
              <w:jc w:val="center"/>
            </w:pPr>
            <w:r>
              <w:t>429 089,0</w:t>
            </w:r>
          </w:p>
        </w:tc>
        <w:tc>
          <w:tcPr>
            <w:tcW w:w="1701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38CCE" w14:textId="77777777" w:rsidR="00735601" w:rsidRDefault="006D0C58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DA216" w14:textId="77777777" w:rsidR="00735601" w:rsidRDefault="006D0C58">
            <w:pPr>
              <w:jc w:val="center"/>
            </w:pPr>
            <w:r>
              <w:t>0,0</w:t>
            </w:r>
          </w:p>
        </w:tc>
      </w:tr>
      <w:tr w:rsidR="00735601" w14:paraId="1F2FC28D" w14:textId="77777777">
        <w:trPr>
          <w:trHeight w:val="200"/>
        </w:trPr>
        <w:tc>
          <w:tcPr>
            <w:tcW w:w="4678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10C22" w14:textId="77777777" w:rsidR="00735601" w:rsidRDefault="006D0C58">
            <w:pPr>
              <w:jc w:val="both"/>
            </w:pPr>
            <w:r>
              <w:t>Транспортный налог</w:t>
            </w:r>
          </w:p>
        </w:tc>
        <w:tc>
          <w:tcPr>
            <w:tcW w:w="1701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B5F45" w14:textId="77777777" w:rsidR="00735601" w:rsidRDefault="006D0C58">
            <w:pPr>
              <w:jc w:val="center"/>
            </w:pPr>
            <w:r>
              <w:t>71 961,0</w:t>
            </w:r>
          </w:p>
        </w:tc>
        <w:tc>
          <w:tcPr>
            <w:tcW w:w="1701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E210" w14:textId="77777777" w:rsidR="00735601" w:rsidRDefault="006D0C58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74D5D" w14:textId="77777777" w:rsidR="00735601" w:rsidRDefault="006D0C58">
            <w:pPr>
              <w:jc w:val="center"/>
            </w:pPr>
            <w:r>
              <w:t>0,0</w:t>
            </w:r>
          </w:p>
        </w:tc>
      </w:tr>
      <w:tr w:rsidR="00735601" w14:paraId="6FDD4017" w14:textId="77777777">
        <w:trPr>
          <w:trHeight w:val="200"/>
        </w:trPr>
        <w:tc>
          <w:tcPr>
            <w:tcW w:w="4678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765EE" w14:textId="77777777" w:rsidR="00735601" w:rsidRDefault="006D0C58">
            <w:pPr>
              <w:jc w:val="both"/>
            </w:pPr>
            <w:r>
              <w:t>Налог на добычу полезных ископаемых</w:t>
            </w:r>
          </w:p>
        </w:tc>
        <w:tc>
          <w:tcPr>
            <w:tcW w:w="1701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E129B" w14:textId="77777777" w:rsidR="00735601" w:rsidRDefault="006D0C58">
            <w:pPr>
              <w:jc w:val="center"/>
            </w:pPr>
            <w:r>
              <w:t>33 919,0</w:t>
            </w:r>
          </w:p>
        </w:tc>
        <w:tc>
          <w:tcPr>
            <w:tcW w:w="1701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CB886" w14:textId="77777777" w:rsidR="00735601" w:rsidRDefault="006D0C58">
            <w:pPr>
              <w:jc w:val="center"/>
            </w:pPr>
            <w:r>
              <w:t>51 437,0</w:t>
            </w:r>
          </w:p>
        </w:tc>
        <w:tc>
          <w:tcPr>
            <w:tcW w:w="1559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FBC07" w14:textId="77777777" w:rsidR="00735601" w:rsidRDefault="006D0C58">
            <w:pPr>
              <w:jc w:val="center"/>
            </w:pPr>
            <w:r>
              <w:t>77 366,0</w:t>
            </w:r>
          </w:p>
        </w:tc>
      </w:tr>
      <w:tr w:rsidR="00735601" w14:paraId="5067648D" w14:textId="77777777">
        <w:trPr>
          <w:trHeight w:val="236"/>
        </w:trPr>
        <w:tc>
          <w:tcPr>
            <w:tcW w:w="4678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0B3C2" w14:textId="77777777" w:rsidR="00735601" w:rsidRDefault="006D0C5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CE7A0" w14:textId="77777777" w:rsidR="00735601" w:rsidRDefault="006D0C58">
            <w:pPr>
              <w:jc w:val="center"/>
              <w:rPr>
                <w:b/>
              </w:rPr>
            </w:pPr>
            <w:r>
              <w:rPr>
                <w:b/>
              </w:rPr>
              <w:t>6 307 414,0</w:t>
            </w:r>
          </w:p>
        </w:tc>
        <w:tc>
          <w:tcPr>
            <w:tcW w:w="1701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ED046" w14:textId="77777777" w:rsidR="00735601" w:rsidRDefault="006D0C5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</w:rPr>
              <w:t> 996 429,0</w:t>
            </w:r>
          </w:p>
        </w:tc>
        <w:tc>
          <w:tcPr>
            <w:tcW w:w="1559" w:type="dxa"/>
            <w:tcBorders>
              <w:top w:val="single" w:sz="6" w:space="0" w:color="365F91" w:themeColor="accent1" w:themeShade="BF"/>
              <w:left w:val="single" w:sz="6" w:space="0" w:color="365F91" w:themeColor="accent1" w:themeShade="BF"/>
              <w:bottom w:val="single" w:sz="6" w:space="0" w:color="365F91" w:themeColor="accent1" w:themeShade="BF"/>
              <w:right w:val="single" w:sz="6" w:space="0" w:color="365F91" w:themeColor="accent1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8DD87" w14:textId="77777777" w:rsidR="00735601" w:rsidRDefault="006D0C58">
            <w:pPr>
              <w:jc w:val="center"/>
              <w:rPr>
                <w:b/>
              </w:rPr>
            </w:pPr>
            <w:r>
              <w:rPr>
                <w:b/>
              </w:rPr>
              <w:t>8 350</w:t>
            </w:r>
            <w:r>
              <w:rPr>
                <w:b/>
              </w:rPr>
              <w:t> </w:t>
            </w:r>
            <w:r>
              <w:rPr>
                <w:b/>
              </w:rPr>
              <w:t>926,0</w:t>
            </w:r>
          </w:p>
        </w:tc>
      </w:tr>
    </w:tbl>
    <w:p w14:paraId="29894D44" w14:textId="77777777" w:rsidR="00735601" w:rsidRDefault="006D0C58">
      <w:pPr>
        <w:ind w:firstLine="709"/>
        <w:jc w:val="both"/>
        <w:rPr>
          <w:b/>
          <w:i/>
          <w:sz w:val="28"/>
        </w:rPr>
      </w:pPr>
      <w:r>
        <w:rPr>
          <w:b/>
          <w:sz w:val="28"/>
        </w:rPr>
        <w:t>2.</w:t>
      </w:r>
      <w:r>
        <w:rPr>
          <w:b/>
          <w:i/>
          <w:sz w:val="28"/>
        </w:rPr>
        <w:t xml:space="preserve"> </w:t>
      </w:r>
      <w:r>
        <w:rPr>
          <w:b/>
          <w:sz w:val="28"/>
        </w:rPr>
        <w:t xml:space="preserve">Анализ неналоговых </w:t>
      </w:r>
      <w:r>
        <w:rPr>
          <w:b/>
          <w:sz w:val="28"/>
        </w:rPr>
        <w:t>поступлений</w:t>
      </w:r>
      <w:r>
        <w:rPr>
          <w:b/>
          <w:i/>
          <w:sz w:val="28"/>
        </w:rPr>
        <w:t xml:space="preserve">. </w:t>
      </w:r>
      <w:r>
        <w:rPr>
          <w:spacing w:val="-5"/>
          <w:sz w:val="28"/>
        </w:rPr>
        <w:t>Неналоговые доходы краевого бюджета на 2025 год запланированы в сумме 17,8 млрд рублей, что на 23,6 %</w:t>
      </w:r>
      <w:r>
        <w:rPr>
          <w:spacing w:val="-5"/>
          <w:sz w:val="28"/>
        </w:rPr>
        <w:br/>
      </w:r>
      <w:r>
        <w:rPr>
          <w:i/>
          <w:spacing w:val="-5"/>
        </w:rPr>
        <w:t>(-5,5 млрд)</w:t>
      </w:r>
      <w:r>
        <w:rPr>
          <w:spacing w:val="-5"/>
          <w:sz w:val="28"/>
        </w:rPr>
        <w:t xml:space="preserve"> ниже Оценки бюджета КК </w:t>
      </w:r>
      <w:r>
        <w:rPr>
          <w:i/>
          <w:spacing w:val="-5"/>
        </w:rPr>
        <w:t>(23,3 млрд рублей)</w:t>
      </w:r>
      <w:r>
        <w:rPr>
          <w:spacing w:val="-5"/>
          <w:sz w:val="28"/>
        </w:rPr>
        <w:t xml:space="preserve"> в основном по причине снижения прогнозного значения по доходам от размещения средств бю</w:t>
      </w:r>
      <w:r>
        <w:rPr>
          <w:spacing w:val="-5"/>
          <w:sz w:val="28"/>
        </w:rPr>
        <w:t>джетов</w:t>
      </w:r>
      <w:r>
        <w:rPr>
          <w:spacing w:val="-5"/>
          <w:sz w:val="28"/>
        </w:rPr>
        <w:br/>
      </w:r>
      <w:r>
        <w:rPr>
          <w:i/>
          <w:spacing w:val="-5"/>
        </w:rPr>
        <w:t>(-5,3 млрд)</w:t>
      </w:r>
      <w:r>
        <w:rPr>
          <w:spacing w:val="-5"/>
          <w:sz w:val="28"/>
        </w:rPr>
        <w:t xml:space="preserve">. </w:t>
      </w:r>
    </w:p>
    <w:p w14:paraId="1365ED97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2.1.</w:t>
      </w:r>
      <w:r>
        <w:rPr>
          <w:i/>
          <w:sz w:val="28"/>
        </w:rPr>
        <w:t xml:space="preserve"> </w:t>
      </w:r>
      <w:r>
        <w:rPr>
          <w:sz w:val="28"/>
        </w:rPr>
        <w:t xml:space="preserve">Поступления </w:t>
      </w:r>
      <w:r>
        <w:rPr>
          <w:b/>
          <w:sz w:val="28"/>
        </w:rPr>
        <w:t xml:space="preserve">доходов от использования имущества </w:t>
      </w:r>
      <w:r>
        <w:rPr>
          <w:i/>
        </w:rPr>
        <w:t>(62,8 % в объеме неналоговых доходов)</w:t>
      </w:r>
      <w:r>
        <w:rPr>
          <w:b/>
          <w:sz w:val="28"/>
        </w:rPr>
        <w:t xml:space="preserve"> </w:t>
      </w:r>
      <w:r>
        <w:rPr>
          <w:sz w:val="28"/>
        </w:rPr>
        <w:t>составят: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2AD3A110" w14:textId="77777777">
        <w:trPr>
          <w:trHeight w:val="212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8830F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8C20D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919E8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409AD10D" w14:textId="77777777">
        <w:trPr>
          <w:trHeight w:val="222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6BD1B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16391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57258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04414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09040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45097477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2A57C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33DA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16 539 407,6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0B43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11 154 262,0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F651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8 862 696,4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5465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7 412 192,8</w:t>
            </w:r>
          </w:p>
        </w:tc>
      </w:tr>
      <w:tr w:rsidR="00735601" w14:paraId="32DCF471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5DDC9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A38B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71,1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EB65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62,8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37F2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58,1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A2C2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53,9</w:t>
            </w:r>
          </w:p>
        </w:tc>
      </w:tr>
      <w:tr w:rsidR="00735601" w14:paraId="5FFD37A1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A5AD5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77A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3 792 348,0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AB03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-5 385 145,6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7FB3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-2 291 565,6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C30E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-1 450 503,6</w:t>
            </w:r>
          </w:p>
        </w:tc>
      </w:tr>
      <w:tr w:rsidR="00735601" w14:paraId="0C056ED8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C054A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3ADA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129,8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4A8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67,4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D616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79,5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95D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83,6</w:t>
            </w:r>
          </w:p>
        </w:tc>
      </w:tr>
    </w:tbl>
    <w:p w14:paraId="477A1E59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Структура прогнозных на 2025 год значений в </w:t>
      </w:r>
      <w:r>
        <w:rPr>
          <w:sz w:val="28"/>
        </w:rPr>
        <w:t>разрезе основных видов доходов от использования имущества: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42"/>
        <w:gridCol w:w="2595"/>
        <w:gridCol w:w="2970"/>
      </w:tblGrid>
      <w:tr w:rsidR="00735601" w14:paraId="0950C44F" w14:textId="77777777">
        <w:trPr>
          <w:trHeight w:val="480"/>
        </w:trPr>
        <w:tc>
          <w:tcPr>
            <w:tcW w:w="4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B19EB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Наименование показателя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E2132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Прогноз на 2025 г., </w:t>
            </w:r>
          </w:p>
          <w:p w14:paraId="505C1FF4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млн рублей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B49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Доля в объеме доходов </w:t>
            </w:r>
          </w:p>
          <w:p w14:paraId="0F173B76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от </w:t>
            </w:r>
            <w:proofErr w:type="spellStart"/>
            <w:r>
              <w:rPr>
                <w:b/>
                <w:color w:val="FFFFFF"/>
                <w:sz w:val="20"/>
              </w:rPr>
              <w:t>исп-ния</w:t>
            </w:r>
            <w:proofErr w:type="spellEnd"/>
            <w:r>
              <w:rPr>
                <w:b/>
                <w:color w:val="FFFFFF"/>
                <w:sz w:val="20"/>
              </w:rPr>
              <w:t xml:space="preserve"> им-</w:t>
            </w:r>
            <w:proofErr w:type="spellStart"/>
            <w:r>
              <w:rPr>
                <w:b/>
                <w:color w:val="FFFFFF"/>
                <w:sz w:val="20"/>
              </w:rPr>
              <w:t>ва</w:t>
            </w:r>
            <w:proofErr w:type="spellEnd"/>
            <w:r>
              <w:rPr>
                <w:b/>
                <w:color w:val="FFFFFF"/>
                <w:sz w:val="20"/>
              </w:rPr>
              <w:t>, %</w:t>
            </w:r>
          </w:p>
        </w:tc>
      </w:tr>
      <w:tr w:rsidR="00735601" w14:paraId="553A1D35" w14:textId="77777777">
        <w:trPr>
          <w:trHeight w:val="200"/>
        </w:trPr>
        <w:tc>
          <w:tcPr>
            <w:tcW w:w="4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7C524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 xml:space="preserve">Доходы от </w:t>
            </w:r>
            <w:proofErr w:type="spellStart"/>
            <w:proofErr w:type="gramStart"/>
            <w:r>
              <w:rPr>
                <w:sz w:val="20"/>
              </w:rPr>
              <w:t>разм.ср</w:t>
            </w:r>
            <w:proofErr w:type="spellEnd"/>
            <w:proofErr w:type="gramEnd"/>
            <w:r>
              <w:rPr>
                <w:sz w:val="20"/>
              </w:rPr>
              <w:t>-в бюджета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2E9F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8 689,1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78F1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77,9</w:t>
            </w:r>
          </w:p>
        </w:tc>
      </w:tr>
      <w:tr w:rsidR="00735601" w14:paraId="235ABEEE" w14:textId="77777777">
        <w:trPr>
          <w:trHeight w:val="200"/>
        </w:trPr>
        <w:tc>
          <w:tcPr>
            <w:tcW w:w="4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F53A5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Аренда земли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8AF2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2 234,7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4D05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20,0</w:t>
            </w:r>
          </w:p>
        </w:tc>
      </w:tr>
      <w:tr w:rsidR="00735601" w14:paraId="5C9B2513" w14:textId="77777777">
        <w:trPr>
          <w:trHeight w:val="211"/>
        </w:trPr>
        <w:tc>
          <w:tcPr>
            <w:tcW w:w="4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B71F2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Аренда им-</w:t>
            </w:r>
            <w:proofErr w:type="spellStart"/>
            <w:r>
              <w:rPr>
                <w:sz w:val="20"/>
              </w:rPr>
              <w:t>ва</w:t>
            </w:r>
            <w:proofErr w:type="spellEnd"/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47A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88,3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8DF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</w:tr>
      <w:tr w:rsidR="00735601" w14:paraId="6120039E" w14:textId="77777777">
        <w:trPr>
          <w:trHeight w:val="200"/>
        </w:trPr>
        <w:tc>
          <w:tcPr>
            <w:tcW w:w="4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A3187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 xml:space="preserve">Прочие доходы от </w:t>
            </w:r>
            <w:proofErr w:type="spellStart"/>
            <w:r>
              <w:rPr>
                <w:sz w:val="20"/>
              </w:rPr>
              <w:t>исп-ния</w:t>
            </w:r>
            <w:proofErr w:type="spellEnd"/>
            <w:r>
              <w:rPr>
                <w:sz w:val="20"/>
              </w:rPr>
              <w:t xml:space="preserve"> им-</w:t>
            </w:r>
            <w:proofErr w:type="spellStart"/>
            <w:r>
              <w:rPr>
                <w:sz w:val="20"/>
              </w:rPr>
              <w:t>ва</w:t>
            </w:r>
            <w:proofErr w:type="spellEnd"/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AE9E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86,5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FEF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</w:tr>
      <w:tr w:rsidR="00735601" w14:paraId="2C7107D8" w14:textId="77777777">
        <w:trPr>
          <w:trHeight w:val="200"/>
        </w:trPr>
        <w:tc>
          <w:tcPr>
            <w:tcW w:w="4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7BAB6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Иные доходы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AAB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55,7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B023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</w:tr>
      <w:tr w:rsidR="00735601" w14:paraId="4B19AA30" w14:textId="77777777">
        <w:trPr>
          <w:trHeight w:val="200"/>
        </w:trPr>
        <w:tc>
          <w:tcPr>
            <w:tcW w:w="4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6B9B9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F8FED" w14:textId="77777777" w:rsidR="00735601" w:rsidRDefault="006D0C58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11 154 262,0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146E5" w14:textId="77777777" w:rsidR="00735601" w:rsidRDefault="006D0C58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</w:tbl>
    <w:p w14:paraId="32A2DBF7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2.2.</w:t>
      </w:r>
      <w:r>
        <w:rPr>
          <w:sz w:val="28"/>
        </w:rPr>
        <w:t xml:space="preserve"> Прогнозные </w:t>
      </w:r>
      <w:r>
        <w:rPr>
          <w:b/>
          <w:sz w:val="28"/>
        </w:rPr>
        <w:t xml:space="preserve">доходы в виде прибыли, приходящейся на доли в уставных (складочных) капиталах хозяйственных товариществ и обществ, или дивидендов по акциям, </w:t>
      </w:r>
      <w:r>
        <w:rPr>
          <w:b/>
          <w:sz w:val="28"/>
        </w:rPr>
        <w:t>принадлежащим субъектам РФ</w:t>
      </w:r>
      <w:r>
        <w:rPr>
          <w:sz w:val="28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7F5A5AFB" w14:textId="77777777">
        <w:trPr>
          <w:trHeight w:val="200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D551E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3731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D1DBB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5DFDB5E6" w14:textId="77777777">
        <w:trPr>
          <w:trHeight w:val="225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15D66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8E29A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A11E7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D8A3C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CE5EF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628F4E00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81B9C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80E7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137 300,0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F6FB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34 508,0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E088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133 997,0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708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139 333,0</w:t>
            </w:r>
          </w:p>
        </w:tc>
      </w:tr>
      <w:tr w:rsidR="00735601" w14:paraId="037B7CFA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0371C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F03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0,6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F71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D867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0,9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C790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</w:tr>
      <w:tr w:rsidR="00735601" w14:paraId="6CF35259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6333A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7F89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47 814,2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550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-102 792,0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D2C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99 489,0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CB89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5 336,0</w:t>
            </w:r>
          </w:p>
        </w:tc>
      </w:tr>
      <w:tr w:rsidR="00735601" w14:paraId="7EFA795F" w14:textId="77777777">
        <w:trPr>
          <w:trHeight w:val="21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B0F13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E37B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153,4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C9CA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25,1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BAD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388,3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598F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104,0</w:t>
            </w:r>
          </w:p>
        </w:tc>
      </w:tr>
    </w:tbl>
    <w:p w14:paraId="6A0F2772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Прогнозные значения поступлений соответствуют расчетам департамента имущественных отношений КК (далее – ДИО) – главного администратора указанных доходов. </w:t>
      </w:r>
      <w:r>
        <w:rPr>
          <w:b/>
          <w:sz w:val="28"/>
        </w:rPr>
        <w:t xml:space="preserve">Предложения </w:t>
      </w:r>
      <w:r>
        <w:rPr>
          <w:sz w:val="28"/>
        </w:rPr>
        <w:t>по корректировке плановых назначений на 2025–2027 годы</w:t>
      </w:r>
      <w:r>
        <w:rPr>
          <w:b/>
          <w:sz w:val="28"/>
        </w:rPr>
        <w:t xml:space="preserve"> отсутствуют</w:t>
      </w:r>
      <w:r>
        <w:rPr>
          <w:sz w:val="28"/>
        </w:rPr>
        <w:t>.</w:t>
      </w:r>
    </w:p>
    <w:p w14:paraId="62693D05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lastRenderedPageBreak/>
        <w:t xml:space="preserve">2.3. </w:t>
      </w:r>
      <w:r>
        <w:rPr>
          <w:sz w:val="28"/>
        </w:rPr>
        <w:t>Объем поступлений</w:t>
      </w:r>
      <w:r>
        <w:rPr>
          <w:sz w:val="28"/>
        </w:rPr>
        <w:t xml:space="preserve"> по </w:t>
      </w:r>
      <w:r>
        <w:rPr>
          <w:b/>
          <w:sz w:val="28"/>
        </w:rPr>
        <w:t>доходам от размещения средств бюджета</w:t>
      </w:r>
      <w:r>
        <w:rPr>
          <w:sz w:val="28"/>
        </w:rPr>
        <w:t xml:space="preserve"> запланирован в следующем размере:</w:t>
      </w:r>
    </w:p>
    <w:p w14:paraId="7A56C546" w14:textId="77777777" w:rsidR="00735601" w:rsidRDefault="00735601">
      <w:pPr>
        <w:ind w:firstLine="709"/>
        <w:jc w:val="both"/>
        <w:rPr>
          <w:sz w:val="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28C18D88" w14:textId="77777777">
        <w:trPr>
          <w:trHeight w:val="200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B142D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1E508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C1FEC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3E79A171" w14:textId="77777777">
        <w:trPr>
          <w:trHeight w:val="200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F6A5B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FF7A0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BBBC5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F5E24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B625E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4E9F024C" w14:textId="77777777">
        <w:trPr>
          <w:trHeight w:hRule="exact" w:val="22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381A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254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13 990 647,0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FA502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8 689 070,0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A13B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6 206 479,0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4DF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4 654 859,0</w:t>
            </w:r>
          </w:p>
        </w:tc>
      </w:tr>
      <w:tr w:rsidR="00735601" w14:paraId="6F20BE53" w14:textId="77777777">
        <w:trPr>
          <w:trHeight w:hRule="exact"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FF18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206B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60,1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8BA3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48,9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D26C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40,7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5752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33,9</w:t>
            </w:r>
          </w:p>
        </w:tc>
      </w:tr>
      <w:tr w:rsidR="00735601" w14:paraId="177C2417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78AD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C6ED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3 646 281,5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63BA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-5 301 577,0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C2D7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-2 482 591,0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840D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-1 551 620,0</w:t>
            </w:r>
          </w:p>
        </w:tc>
      </w:tr>
      <w:tr w:rsidR="00735601" w14:paraId="26AD2A39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151BD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968C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135,2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6293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62,1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B57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71,4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5976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75,0</w:t>
            </w:r>
          </w:p>
        </w:tc>
      </w:tr>
    </w:tbl>
    <w:p w14:paraId="5C39995B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Расчет поступлений произведен исходя из прогнозируемого объема остатков временно свободных средств </w:t>
      </w:r>
      <w:r>
        <w:rPr>
          <w:sz w:val="28"/>
        </w:rPr>
        <w:t>бюджета края на ЕКС</w:t>
      </w:r>
      <w:r>
        <w:rPr>
          <w:sz w:val="28"/>
          <w:vertAlign w:val="superscript"/>
        </w:rPr>
        <w:footnoteReference w:id="20"/>
      </w:r>
      <w:r>
        <w:rPr>
          <w:sz w:val="28"/>
        </w:rPr>
        <w:t xml:space="preserve"> и средств, планируемых к размещению на банковских депозитах, количества дней размещения, а также нижнего порога диапазона средней ключевой ставки ЦБ</w:t>
      </w:r>
      <w:r>
        <w:rPr>
          <w:sz w:val="28"/>
          <w:vertAlign w:val="superscript"/>
        </w:rPr>
        <w:footnoteReference w:id="21"/>
      </w:r>
      <w:r>
        <w:rPr>
          <w:sz w:val="28"/>
        </w:rPr>
        <w:t xml:space="preserve"> </w:t>
      </w:r>
      <w:r>
        <w:rPr>
          <w:i/>
        </w:rPr>
        <w:t>(14,0 % – на 2025, 10,0 % – на 2026, 7,5 %– на 2026 годы)</w:t>
      </w:r>
      <w:r>
        <w:rPr>
          <w:sz w:val="28"/>
        </w:rPr>
        <w:t xml:space="preserve">. </w:t>
      </w:r>
    </w:p>
    <w:p w14:paraId="28BD314B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Однако в соответствии с</w:t>
      </w:r>
      <w:r>
        <w:rPr>
          <w:sz w:val="28"/>
        </w:rPr>
        <w:t xml:space="preserve"> Основными направлениями единой государственной денежно-кредитной политики на 2025 год и период 2026 и 2027 годов в среднем за год по базовому сценарию средняя ключевая ставка в 2025 году </w:t>
      </w:r>
      <w:r>
        <w:rPr>
          <w:sz w:val="28"/>
        </w:rPr>
        <w:t>будет находиться в диапазоне 17,0–20,0% годовых, в 2026 — 12,0–13,0%</w:t>
      </w:r>
      <w:r>
        <w:rPr>
          <w:sz w:val="28"/>
        </w:rPr>
        <w:t xml:space="preserve"> годовых, в 2027 </w:t>
      </w:r>
      <w:r>
        <w:rPr>
          <w:sz w:val="28"/>
        </w:rPr>
        <w:t xml:space="preserve">– </w:t>
      </w:r>
      <w:r>
        <w:rPr>
          <w:sz w:val="28"/>
        </w:rPr>
        <w:t>7,5–8,5% годовых.</w:t>
      </w:r>
      <w:r>
        <w:rPr>
          <w:sz w:val="28"/>
        </w:rPr>
        <w:t xml:space="preserve"> С учетом прогнозируемого показателя ключевой ставки</w:t>
      </w:r>
      <w:r>
        <w:rPr>
          <w:i/>
        </w:rPr>
        <w:t xml:space="preserve"> (ее нижнего порога) </w:t>
      </w:r>
      <w:r>
        <w:rPr>
          <w:sz w:val="28"/>
        </w:rPr>
        <w:t xml:space="preserve">поступления в 2025 году могут составить </w:t>
      </w:r>
      <w:r>
        <w:rPr>
          <w:b/>
          <w:sz w:val="28"/>
        </w:rPr>
        <w:t>10 551 010,0 тыс. рублей</w:t>
      </w:r>
      <w:r>
        <w:rPr>
          <w:sz w:val="28"/>
        </w:rPr>
        <w:t xml:space="preserve">, что на 1 861 940,0 тыс. рублей больше прогнозируемого значения, а в 2026 – </w:t>
      </w:r>
      <w:r>
        <w:rPr>
          <w:b/>
          <w:sz w:val="28"/>
        </w:rPr>
        <w:t>7 447 770,0 тыс. рублей</w:t>
      </w:r>
      <w:r>
        <w:rPr>
          <w:sz w:val="28"/>
        </w:rPr>
        <w:t>, что на 1 241 291,0 тыс. рублей больше предлагаемого законопроектом показателя, по 2027 году замечания отсутствуют.</w:t>
      </w:r>
    </w:p>
    <w:p w14:paraId="7D18E009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2.4.</w:t>
      </w:r>
      <w:r>
        <w:rPr>
          <w:sz w:val="28"/>
        </w:rPr>
        <w:t xml:space="preserve"> Доходы от поступления </w:t>
      </w:r>
      <w:r>
        <w:rPr>
          <w:b/>
          <w:sz w:val="28"/>
        </w:rPr>
        <w:t>процентов, п</w:t>
      </w:r>
      <w:r>
        <w:rPr>
          <w:b/>
          <w:sz w:val="28"/>
        </w:rPr>
        <w:t>олученных от предоставления бюджетных кредитов</w:t>
      </w:r>
      <w:r>
        <w:rPr>
          <w:sz w:val="28"/>
        </w:rPr>
        <w:t>, Минфином КК прогнозируются в размере: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7D3DF0BB" w14:textId="77777777">
        <w:trPr>
          <w:trHeight w:val="200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7B8A6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38A0D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3F515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2E94F388" w14:textId="77777777">
        <w:trPr>
          <w:trHeight w:val="200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9286C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0A60E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F335E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24D2D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7A1BF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15A52E80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F6566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1CE5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7 921,7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6136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6 389,0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460C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5 157,4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1181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4 204,8</w:t>
            </w:r>
          </w:p>
        </w:tc>
      </w:tr>
      <w:tr w:rsidR="00735601" w14:paraId="70D212B5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5B4AB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111F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ADE5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0,04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1611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77E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</w:tr>
      <w:tr w:rsidR="00735601" w14:paraId="708C8202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4A263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69AE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1 191,6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D80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-1 532,7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C24A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-1 231,6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84AD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-952,6</w:t>
            </w:r>
          </w:p>
        </w:tc>
      </w:tr>
      <w:tr w:rsidR="00735601" w14:paraId="6FEA2265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6762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F00B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117,7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BCF8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80,7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BCD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80,7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6AC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81,5</w:t>
            </w:r>
          </w:p>
        </w:tc>
      </w:tr>
    </w:tbl>
    <w:p w14:paraId="04367A6D" w14:textId="77777777" w:rsidR="00735601" w:rsidRDefault="006D0C58">
      <w:pPr>
        <w:spacing w:before="60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Предложения </w:t>
      </w:r>
      <w:r>
        <w:rPr>
          <w:sz w:val="28"/>
        </w:rPr>
        <w:t>по корректировке прогнозных назначений по данному источнику</w:t>
      </w:r>
      <w:r>
        <w:rPr>
          <w:b/>
          <w:sz w:val="28"/>
        </w:rPr>
        <w:t xml:space="preserve"> поступлений отсутствуют.</w:t>
      </w:r>
    </w:p>
    <w:p w14:paraId="39035348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2.5.</w:t>
      </w:r>
      <w:r>
        <w:rPr>
          <w:sz w:val="28"/>
        </w:rPr>
        <w:t xml:space="preserve"> Поступления </w:t>
      </w:r>
      <w:r>
        <w:rPr>
          <w:b/>
          <w:sz w:val="28"/>
        </w:rPr>
        <w:t xml:space="preserve">арендной платы за </w:t>
      </w:r>
      <w:r>
        <w:rPr>
          <w:b/>
          <w:sz w:val="28"/>
        </w:rPr>
        <w:t>землю</w:t>
      </w:r>
      <w:r>
        <w:rPr>
          <w:sz w:val="28"/>
        </w:rPr>
        <w:t xml:space="preserve"> прогнозируются в сумме: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083ECFD6" w14:textId="77777777">
        <w:trPr>
          <w:trHeight w:val="200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EC706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6112A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D45E3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1B754016" w14:textId="77777777">
        <w:trPr>
          <w:trHeight w:val="200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80B52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74D09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3430A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F985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44D45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05231DD4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854AB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52BA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2 186 526,0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9093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2 234 701,0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C232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2 324 089,0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DE6F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2 417 052,0</w:t>
            </w:r>
          </w:p>
        </w:tc>
      </w:tr>
      <w:tr w:rsidR="00735601" w14:paraId="284B98B3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FE0C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DD66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9,4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6B7D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12,6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49B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15,2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485B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17,6</w:t>
            </w:r>
          </w:p>
        </w:tc>
      </w:tr>
      <w:tr w:rsidR="00735601" w14:paraId="2B16C1D1" w14:textId="77777777">
        <w:trPr>
          <w:trHeight w:val="212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DDA39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 xml:space="preserve">к предыдущему году, тыс. </w:t>
            </w:r>
            <w:r>
              <w:rPr>
                <w:sz w:val="20"/>
              </w:rPr>
              <w:t>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BCA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-32 529,6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868B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48 175,0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5A72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89 388,0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038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92 963,0</w:t>
            </w:r>
          </w:p>
        </w:tc>
      </w:tr>
      <w:tr w:rsidR="00735601" w14:paraId="5640E662" w14:textId="77777777">
        <w:trPr>
          <w:trHeight w:val="227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62BFF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28A8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98,5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8CC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102,2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9799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104,0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9850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104,0</w:t>
            </w:r>
          </w:p>
        </w:tc>
      </w:tr>
    </w:tbl>
    <w:p w14:paraId="12D32814" w14:textId="77777777" w:rsidR="00735601" w:rsidRDefault="006D0C58">
      <w:pPr>
        <w:ind w:firstLine="709"/>
        <w:jc w:val="both"/>
        <w:rPr>
          <w:sz w:val="28"/>
        </w:rPr>
      </w:pPr>
      <w:r>
        <w:rPr>
          <w:color w:val="FF0000"/>
          <w:sz w:val="28"/>
        </w:rPr>
        <w:t>►</w:t>
      </w:r>
      <w:r>
        <w:rPr>
          <w:sz w:val="28"/>
        </w:rPr>
        <w:t xml:space="preserve">Как при рассмотрении проекта бюджета на 2023–2025 годы, так и 2024–2026 годы специалисты КСП КК обращали внимание на необходимость уточнения в методике </w:t>
      </w:r>
      <w:r>
        <w:rPr>
          <w:sz w:val="28"/>
        </w:rPr>
        <w:t>прогнозирования</w:t>
      </w:r>
      <w:r>
        <w:rPr>
          <w:sz w:val="28"/>
          <w:vertAlign w:val="superscript"/>
        </w:rPr>
        <w:footnoteReference w:id="22"/>
      </w:r>
      <w:r>
        <w:rPr>
          <w:sz w:val="28"/>
        </w:rPr>
        <w:t xml:space="preserve"> наименования плана мероприятий – показателя, используемого для расчета поступлений арендной платы за землю. До настоящего времени методика ДИО в указанной части не уточнена, что является</w:t>
      </w:r>
      <w:r>
        <w:rPr>
          <w:b/>
          <w:sz w:val="28"/>
        </w:rPr>
        <w:t xml:space="preserve"> несоблюдением </w:t>
      </w:r>
      <w:proofErr w:type="spellStart"/>
      <w:r>
        <w:rPr>
          <w:b/>
          <w:sz w:val="28"/>
        </w:rPr>
        <w:t>пп</w:t>
      </w:r>
      <w:proofErr w:type="spellEnd"/>
      <w:r>
        <w:rPr>
          <w:b/>
          <w:sz w:val="28"/>
        </w:rPr>
        <w:t>. «б» п. 3 Общих требований к метод</w:t>
      </w:r>
      <w:r>
        <w:rPr>
          <w:b/>
          <w:sz w:val="28"/>
        </w:rPr>
        <w:t xml:space="preserve">ике </w:t>
      </w:r>
      <w:r>
        <w:rPr>
          <w:b/>
          <w:sz w:val="28"/>
        </w:rPr>
        <w:lastRenderedPageBreak/>
        <w:t>прогнозирования</w:t>
      </w:r>
      <w:r>
        <w:rPr>
          <w:sz w:val="28"/>
          <w:vertAlign w:val="superscript"/>
        </w:rPr>
        <w:footnoteReference w:id="23"/>
      </w:r>
      <w:r>
        <w:rPr>
          <w:b/>
          <w:sz w:val="28"/>
        </w:rPr>
        <w:t xml:space="preserve">. </w:t>
      </w:r>
      <w:r>
        <w:rPr>
          <w:sz w:val="28"/>
        </w:rPr>
        <w:t xml:space="preserve">Использование неустановленного источника данных при наличии формы бюджетной отчетности </w:t>
      </w:r>
      <w:r>
        <w:rPr>
          <w:sz w:val="28"/>
        </w:rPr>
        <w:t xml:space="preserve">«Сведения по дебиторской и кредиторской задолженности» </w:t>
      </w:r>
      <w:r>
        <w:rPr>
          <w:i/>
        </w:rPr>
        <w:t xml:space="preserve">(ф. 0503169) </w:t>
      </w:r>
      <w:r>
        <w:rPr>
          <w:sz w:val="28"/>
        </w:rPr>
        <w:t>считаем необоснованным.</w:t>
      </w:r>
      <w:r>
        <w:rPr>
          <w:sz w:val="28"/>
        </w:rPr>
        <w:t xml:space="preserve"> </w:t>
      </w:r>
    </w:p>
    <w:p w14:paraId="49B53F03" w14:textId="77777777" w:rsidR="00735601" w:rsidRDefault="006D0C58">
      <w:pPr>
        <w:ind w:firstLine="709"/>
        <w:jc w:val="both"/>
        <w:rPr>
          <w:sz w:val="28"/>
        </w:rPr>
      </w:pPr>
      <w:r>
        <w:rPr>
          <w:color w:val="FF0000"/>
          <w:sz w:val="28"/>
        </w:rPr>
        <w:t>►</w:t>
      </w:r>
      <w:r>
        <w:rPr>
          <w:sz w:val="28"/>
        </w:rPr>
        <w:t xml:space="preserve">Учитывая объем просроченной </w:t>
      </w:r>
      <w:r>
        <w:rPr>
          <w:sz w:val="28"/>
        </w:rPr>
        <w:t>задолженности по арендной плате за пользование земельными участками, который по состоянию на 01.10.2024 составил 1 132 503,0 тыс. рублей, план по вовлечению до конца года</w:t>
      </w:r>
      <w:r>
        <w:rPr>
          <w:sz w:val="28"/>
          <w:vertAlign w:val="superscript"/>
        </w:rPr>
        <w:footnoteReference w:id="24"/>
      </w:r>
      <w:r>
        <w:rPr>
          <w:sz w:val="28"/>
        </w:rPr>
        <w:t xml:space="preserve"> 16 090,4 тыс. рублей в 2024 году считаем заниженным, что указывает на недостаточнос</w:t>
      </w:r>
      <w:r>
        <w:rPr>
          <w:sz w:val="28"/>
        </w:rPr>
        <w:t xml:space="preserve">ть принимаемых ДИО мер в части реализации полномочий, установленных </w:t>
      </w:r>
      <w:proofErr w:type="spellStart"/>
      <w:r>
        <w:rPr>
          <w:sz w:val="28"/>
        </w:rPr>
        <w:t>абз</w:t>
      </w:r>
      <w:proofErr w:type="spellEnd"/>
      <w:r>
        <w:rPr>
          <w:sz w:val="28"/>
        </w:rPr>
        <w:t xml:space="preserve">. третьим п. 2 ст. 160.1 БК РФ. Показатель объема задолженности, планируемого ко взысканию в 2025–2027 гг., ДИО не установлен. </w:t>
      </w:r>
      <w:r>
        <w:rPr>
          <w:b/>
          <w:sz w:val="28"/>
        </w:rPr>
        <w:t xml:space="preserve">Предложения </w:t>
      </w:r>
      <w:r>
        <w:rPr>
          <w:sz w:val="28"/>
        </w:rPr>
        <w:t>по корректировке плановых назначений</w:t>
      </w:r>
      <w:r>
        <w:rPr>
          <w:sz w:val="28"/>
        </w:rPr>
        <w:br/>
        <w:t>на 2025–2</w:t>
      </w:r>
      <w:r>
        <w:rPr>
          <w:sz w:val="28"/>
        </w:rPr>
        <w:t>027 годы</w:t>
      </w:r>
      <w:r>
        <w:rPr>
          <w:b/>
          <w:sz w:val="28"/>
        </w:rPr>
        <w:t xml:space="preserve"> отсутствуют</w:t>
      </w:r>
      <w:r>
        <w:rPr>
          <w:sz w:val="28"/>
        </w:rPr>
        <w:t>.</w:t>
      </w:r>
    </w:p>
    <w:p w14:paraId="493F3553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2.6.</w:t>
      </w:r>
      <w:r>
        <w:rPr>
          <w:i/>
          <w:sz w:val="28"/>
        </w:rPr>
        <w:t xml:space="preserve"> </w:t>
      </w:r>
      <w:r>
        <w:rPr>
          <w:sz w:val="28"/>
        </w:rPr>
        <w:t>Поступления доходов</w:t>
      </w:r>
      <w:r>
        <w:rPr>
          <w:b/>
          <w:sz w:val="28"/>
        </w:rPr>
        <w:t xml:space="preserve"> от сдачи в аренду имущества</w:t>
      </w:r>
      <w:r>
        <w:rPr>
          <w:sz w:val="28"/>
          <w:vertAlign w:val="superscript"/>
        </w:rPr>
        <w:footnoteReference w:id="25"/>
      </w:r>
      <w:r>
        <w:rPr>
          <w:sz w:val="28"/>
        </w:rPr>
        <w:t xml:space="preserve"> составят: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7B2FC491" w14:textId="77777777">
        <w:trPr>
          <w:trHeight w:val="200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D85D3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3ACDE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BA9D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105BE4D7" w14:textId="77777777">
        <w:trPr>
          <w:trHeight w:val="200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4ED9A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C21C2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7F036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70E34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8986B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015DED46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6D246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DA18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84 312,0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AB54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88 310,0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98FB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91 929,0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AD29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95 521,0</w:t>
            </w:r>
          </w:p>
        </w:tc>
      </w:tr>
      <w:tr w:rsidR="00735601" w14:paraId="18EC6865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43C4F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A626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ED46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64C7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0,6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C9D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0,7</w:t>
            </w:r>
          </w:p>
        </w:tc>
      </w:tr>
      <w:tr w:rsidR="00735601" w14:paraId="4E5BCDC6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DA702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CDA0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-345,4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54AB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3 998,0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E25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3 619,0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9025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3 592,0</w:t>
            </w:r>
          </w:p>
        </w:tc>
      </w:tr>
      <w:tr w:rsidR="00735601" w14:paraId="02342C02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1FCAC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720D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99,6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719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104,7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757C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104,1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F023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103,9</w:t>
            </w:r>
          </w:p>
        </w:tc>
      </w:tr>
    </w:tbl>
    <w:p w14:paraId="2688F529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В основу расчета поступления доходов от сдачи в аренду имущества на 2025–2027 годы приняты прогнозные данные ДИО, </w:t>
      </w:r>
      <w:r>
        <w:rPr>
          <w:sz w:val="28"/>
        </w:rPr>
        <w:t>администрации края и Управления ЗАГС, расхождения с которыми отсутствуют.</w:t>
      </w:r>
    </w:p>
    <w:p w14:paraId="6F31F4B8" w14:textId="77777777" w:rsidR="00735601" w:rsidRDefault="006D0C58">
      <w:pPr>
        <w:ind w:firstLine="709"/>
        <w:jc w:val="both"/>
        <w:rPr>
          <w:sz w:val="28"/>
        </w:rPr>
      </w:pPr>
      <w:r>
        <w:rPr>
          <w:color w:val="FF0000"/>
          <w:sz w:val="28"/>
        </w:rPr>
        <w:t>►</w:t>
      </w:r>
      <w:r>
        <w:rPr>
          <w:sz w:val="28"/>
        </w:rPr>
        <w:t xml:space="preserve">Как и по итогам анализа сформированных прогнозных показателей бюджета на 2024–2026 годы при расчете поступления доходов от сдачи в аренду имущества </w:t>
      </w:r>
      <w:r>
        <w:rPr>
          <w:i/>
        </w:rPr>
        <w:t>(107,0 тыс. рублей ежегодно)</w:t>
      </w:r>
      <w:r>
        <w:t xml:space="preserve"> </w:t>
      </w:r>
      <w:r>
        <w:rPr>
          <w:sz w:val="28"/>
        </w:rPr>
        <w:t>Упра</w:t>
      </w:r>
      <w:r>
        <w:rPr>
          <w:sz w:val="28"/>
        </w:rPr>
        <w:t>влением ЗАГС КК не применен индекс потребительских цен из Прогноза СЭР КК, предусмотренный методикой прогнозирования</w:t>
      </w:r>
      <w:r>
        <w:rPr>
          <w:sz w:val="28"/>
          <w:vertAlign w:val="superscript"/>
        </w:rPr>
        <w:footnoteReference w:id="26"/>
      </w:r>
      <w:r>
        <w:rPr>
          <w:sz w:val="28"/>
        </w:rPr>
        <w:t>.</w:t>
      </w:r>
    </w:p>
    <w:p w14:paraId="6A862AFB" w14:textId="77777777" w:rsidR="00735601" w:rsidRDefault="006D0C58">
      <w:pPr>
        <w:ind w:firstLine="709"/>
        <w:jc w:val="both"/>
        <w:rPr>
          <w:i/>
        </w:rPr>
      </w:pPr>
      <w:proofErr w:type="spellStart"/>
      <w:r>
        <w:rPr>
          <w:i/>
        </w:rPr>
        <w:t>Справочно</w:t>
      </w:r>
      <w:proofErr w:type="spellEnd"/>
      <w:r>
        <w:rPr>
          <w:i/>
        </w:rPr>
        <w:t>. С учетом размещенного на официальном сайте министерства экономики края предварительного Прогноза СЭР (по состоянию на 08.07.2</w:t>
      </w:r>
      <w:r>
        <w:rPr>
          <w:i/>
        </w:rPr>
        <w:t>024</w:t>
      </w:r>
      <w:r>
        <w:rPr>
          <w:sz w:val="28"/>
          <w:vertAlign w:val="superscript"/>
        </w:rPr>
        <w:footnoteReference w:id="27"/>
      </w:r>
      <w:r>
        <w:rPr>
          <w:i/>
        </w:rPr>
        <w:t xml:space="preserve"> – действующего в ходе составления прогноза доходов), прогноз поступлений должен составить в 2025 году 111,8 тыс. рублей</w:t>
      </w:r>
      <w:r>
        <w:rPr>
          <w:sz w:val="28"/>
          <w:vertAlign w:val="superscript"/>
        </w:rPr>
        <w:footnoteReference w:id="28"/>
      </w:r>
      <w:r>
        <w:rPr>
          <w:i/>
        </w:rPr>
        <w:t xml:space="preserve"> (+4,8 тыс.), в 2026 – 111,5 тыс. рублей</w:t>
      </w:r>
      <w:r>
        <w:rPr>
          <w:sz w:val="28"/>
          <w:vertAlign w:val="superscript"/>
        </w:rPr>
        <w:footnoteReference w:id="29"/>
      </w:r>
      <w:r>
        <w:rPr>
          <w:i/>
        </w:rPr>
        <w:t xml:space="preserve"> (+4,5 тыс.), в 2027 – 111,3 тыс.</w:t>
      </w:r>
      <w:r>
        <w:rPr>
          <w:sz w:val="28"/>
          <w:vertAlign w:val="superscript"/>
        </w:rPr>
        <w:footnoteReference w:id="30"/>
      </w:r>
      <w:r>
        <w:rPr>
          <w:i/>
        </w:rPr>
        <w:t xml:space="preserve"> (+4,3 тыс.). </w:t>
      </w:r>
      <w:r>
        <w:rPr>
          <w:b/>
          <w:sz w:val="28"/>
        </w:rPr>
        <w:t xml:space="preserve">Предложения </w:t>
      </w:r>
      <w:r>
        <w:rPr>
          <w:sz w:val="28"/>
        </w:rPr>
        <w:t xml:space="preserve">по корректировке плановых </w:t>
      </w:r>
      <w:r>
        <w:rPr>
          <w:sz w:val="28"/>
        </w:rPr>
        <w:t>назначений на 2025–2027 годы</w:t>
      </w:r>
      <w:r>
        <w:rPr>
          <w:b/>
          <w:sz w:val="28"/>
        </w:rPr>
        <w:t xml:space="preserve"> отсутствуют</w:t>
      </w:r>
      <w:r>
        <w:rPr>
          <w:sz w:val="28"/>
        </w:rPr>
        <w:t>.</w:t>
      </w:r>
    </w:p>
    <w:p w14:paraId="382BCE01" w14:textId="77777777" w:rsidR="00735601" w:rsidRDefault="006D0C58">
      <w:pPr>
        <w:ind w:firstLine="709"/>
        <w:jc w:val="both"/>
        <w:rPr>
          <w:color w:val="0070C0"/>
          <w:sz w:val="28"/>
        </w:rPr>
      </w:pPr>
      <w:r>
        <w:rPr>
          <w:b/>
          <w:i/>
          <w:sz w:val="28"/>
        </w:rPr>
        <w:t>2.7.</w:t>
      </w:r>
      <w:r>
        <w:rPr>
          <w:b/>
          <w:sz w:val="28"/>
        </w:rPr>
        <w:t xml:space="preserve"> Поступление платы по соглашениям об установлении сервитута в отношении земельных участков, находящихся в государственной или муниципальной собственности, </w:t>
      </w:r>
      <w:r>
        <w:rPr>
          <w:sz w:val="28"/>
        </w:rPr>
        <w:t>прогнозируется в объеме:</w:t>
      </w:r>
      <w:r>
        <w:rPr>
          <w:color w:val="0070C0"/>
          <w:sz w:val="2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072355EB" w14:textId="77777777">
        <w:trPr>
          <w:trHeight w:val="200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AC8A5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011F8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17D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</w:t>
            </w:r>
            <w:r>
              <w:rPr>
                <w:b/>
                <w:color w:val="FFFFFF"/>
                <w:sz w:val="20"/>
              </w:rPr>
              <w:t>рогноз</w:t>
            </w:r>
          </w:p>
        </w:tc>
      </w:tr>
      <w:tr w:rsidR="00735601" w14:paraId="3BF0DD12" w14:textId="77777777">
        <w:trPr>
          <w:trHeight w:val="200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3D56F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004F3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AC168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A9888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A8D05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57122FF0" w14:textId="77777777">
        <w:trPr>
          <w:trHeight w:val="231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D6BB" w14:textId="77777777" w:rsidR="00735601" w:rsidRDefault="006D0C58">
            <w:pPr>
              <w:spacing w:line="228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996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6 000,0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C2510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5 317,0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6D224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4 889,0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8AEAE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4 676,0</w:t>
            </w:r>
          </w:p>
        </w:tc>
      </w:tr>
      <w:tr w:rsidR="00735601" w14:paraId="30116F49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5E526" w14:textId="77777777" w:rsidR="00735601" w:rsidRDefault="006D0C58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4D047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6F5CD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BAA7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551D6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</w:tr>
      <w:tr w:rsidR="00735601" w14:paraId="7542B368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16C4" w14:textId="77777777" w:rsidR="00735601" w:rsidRDefault="006D0C58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2F79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5,2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71FBC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-683,0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1C8F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-428,0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4255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-213,0</w:t>
            </w:r>
          </w:p>
        </w:tc>
      </w:tr>
      <w:tr w:rsidR="00735601" w14:paraId="25A9177C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98A4" w14:textId="77777777" w:rsidR="00735601" w:rsidRDefault="006D0C58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188CC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BCF3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88,6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26AA7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92,0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2613C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95,6</w:t>
            </w:r>
          </w:p>
        </w:tc>
      </w:tr>
    </w:tbl>
    <w:p w14:paraId="62F6BDF8" w14:textId="77777777" w:rsidR="00735601" w:rsidRDefault="006D0C58">
      <w:pPr>
        <w:ind w:firstLine="709"/>
        <w:jc w:val="both"/>
        <w:rPr>
          <w:sz w:val="26"/>
        </w:rPr>
      </w:pPr>
      <w:r>
        <w:rPr>
          <w:sz w:val="28"/>
        </w:rPr>
        <w:t>Поступления запланированы по двум ГАДБ: ДИО и МПР</w:t>
      </w:r>
      <w:r>
        <w:rPr>
          <w:sz w:val="28"/>
          <w:vertAlign w:val="superscript"/>
        </w:rPr>
        <w:footnoteReference w:id="31"/>
      </w:r>
      <w:r>
        <w:rPr>
          <w:sz w:val="28"/>
        </w:rPr>
        <w:t xml:space="preserve">, в реестре за ними закреплены соответствующие КБК с указанием прогнозных значений, расхождения с которыми не установлены. </w:t>
      </w:r>
      <w:r>
        <w:rPr>
          <w:b/>
          <w:sz w:val="28"/>
        </w:rPr>
        <w:t xml:space="preserve">Предложения </w:t>
      </w:r>
      <w:r>
        <w:rPr>
          <w:sz w:val="28"/>
        </w:rPr>
        <w:t>по корректировке плановых назначений на 2025–2027 годы</w:t>
      </w:r>
      <w:r>
        <w:rPr>
          <w:b/>
          <w:sz w:val="28"/>
        </w:rPr>
        <w:t xml:space="preserve"> отсутствуют</w:t>
      </w:r>
      <w:r>
        <w:rPr>
          <w:sz w:val="28"/>
        </w:rPr>
        <w:t>.</w:t>
      </w:r>
      <w:r>
        <w:rPr>
          <w:sz w:val="26"/>
        </w:rPr>
        <w:t xml:space="preserve"> </w:t>
      </w:r>
    </w:p>
    <w:p w14:paraId="2EE2CFB3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2</w:t>
      </w:r>
      <w:r>
        <w:rPr>
          <w:b/>
          <w:i/>
          <w:sz w:val="28"/>
        </w:rPr>
        <w:t>.8.</w:t>
      </w:r>
      <w:r>
        <w:rPr>
          <w:sz w:val="28"/>
        </w:rPr>
        <w:t xml:space="preserve"> </w:t>
      </w:r>
      <w:r>
        <w:rPr>
          <w:b/>
          <w:sz w:val="28"/>
        </w:rPr>
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 РФ</w:t>
      </w:r>
      <w:r>
        <w:rPr>
          <w:sz w:val="28"/>
        </w:rPr>
        <w:t xml:space="preserve">, прогнозируются в следующих объемах, которые соответствуют расчетам ГАДБ – ДИО: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1BDE0209" w14:textId="77777777">
        <w:trPr>
          <w:trHeight w:val="221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6E27D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BB4CC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</w:t>
            </w:r>
            <w:r>
              <w:rPr>
                <w:b/>
                <w:color w:val="FFFFFF"/>
                <w:sz w:val="20"/>
              </w:rPr>
              <w:t>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3B25B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55BF4895" w14:textId="77777777">
        <w:trPr>
          <w:trHeight w:val="200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0D6DB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F6341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F8A54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AB0EC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24A0B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47C672D4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06C00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052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40 064,9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DA79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9 472,0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4302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9 662,0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7A37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10 052,0</w:t>
            </w:r>
          </w:p>
        </w:tc>
      </w:tr>
      <w:tr w:rsidR="00735601" w14:paraId="35DDB273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0191E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4F2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9F21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7BE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359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</w:tr>
      <w:tr w:rsidR="00735601" w14:paraId="479CD9DA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B727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610A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12 907,3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AE84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-30 592,9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E02C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190,0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3FF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390,0</w:t>
            </w:r>
          </w:p>
        </w:tc>
      </w:tr>
      <w:tr w:rsidR="00735601" w14:paraId="41097D3F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4D4B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832E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147,5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918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23,6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9C34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102,0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66A5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104,0</w:t>
            </w:r>
          </w:p>
        </w:tc>
      </w:tr>
    </w:tbl>
    <w:p w14:paraId="24169FDF" w14:textId="77777777" w:rsidR="00735601" w:rsidRDefault="006D0C58">
      <w:pPr>
        <w:ind w:firstLine="709"/>
        <w:jc w:val="both"/>
        <w:rPr>
          <w:sz w:val="28"/>
        </w:rPr>
      </w:pPr>
      <w:r>
        <w:rPr>
          <w:color w:val="FF0000"/>
          <w:sz w:val="28"/>
        </w:rPr>
        <w:t>►</w:t>
      </w:r>
      <w:r>
        <w:rPr>
          <w:sz w:val="28"/>
        </w:rPr>
        <w:t>В заключениях КСП КК на проекты бюджетов на 2023–2025 годы и 2024–2026 годы специалисты КСП КК обращали внимание на несоответствие методики расчета поступления доходов от перечисления части прибыли, остающейся после уплаты налогов и иных обязательных плате</w:t>
      </w:r>
      <w:r>
        <w:rPr>
          <w:sz w:val="28"/>
        </w:rPr>
        <w:t xml:space="preserve">жей </w:t>
      </w:r>
      <w:proofErr w:type="spellStart"/>
      <w:r>
        <w:rPr>
          <w:sz w:val="28"/>
        </w:rPr>
        <w:t>ГУПов</w:t>
      </w:r>
      <w:proofErr w:type="spellEnd"/>
      <w:r>
        <w:rPr>
          <w:sz w:val="28"/>
        </w:rPr>
        <w:t xml:space="preserve">, </w:t>
      </w:r>
      <w:r>
        <w:rPr>
          <w:b/>
          <w:sz w:val="28"/>
        </w:rPr>
        <w:t>п. 4</w:t>
      </w:r>
      <w:r>
        <w:rPr>
          <w:b/>
          <w:sz w:val="28"/>
          <w:vertAlign w:val="superscript"/>
        </w:rPr>
        <w:t>1</w:t>
      </w:r>
      <w:r>
        <w:rPr>
          <w:b/>
          <w:sz w:val="28"/>
        </w:rPr>
        <w:t xml:space="preserve"> Общих требований</w:t>
      </w:r>
      <w:r>
        <w:rPr>
          <w:sz w:val="28"/>
          <w:vertAlign w:val="superscript"/>
        </w:rPr>
        <w:t xml:space="preserve"> </w:t>
      </w:r>
      <w:r>
        <w:rPr>
          <w:b/>
          <w:sz w:val="28"/>
        </w:rPr>
        <w:t>к методике прогнозировани</w:t>
      </w:r>
      <w:r>
        <w:rPr>
          <w:b/>
          <w:sz w:val="28"/>
        </w:rPr>
        <w:t>я</w:t>
      </w:r>
      <w:r>
        <w:rPr>
          <w:i/>
        </w:rPr>
        <w:t xml:space="preserve"> (не предусмотрен учет оценки ожидаемых результатов работы по взысканию дебиторской задолженности)</w:t>
      </w:r>
      <w:r>
        <w:rPr>
          <w:sz w:val="28"/>
        </w:rPr>
        <w:t xml:space="preserve">. Однако до настоящего времени методика ДИО в указанной части </w:t>
      </w:r>
      <w:r>
        <w:rPr>
          <w:b/>
          <w:sz w:val="28"/>
        </w:rPr>
        <w:t>не уточнена</w:t>
      </w:r>
      <w:r>
        <w:rPr>
          <w:sz w:val="28"/>
        </w:rPr>
        <w:t xml:space="preserve">. </w:t>
      </w:r>
    </w:p>
    <w:p w14:paraId="12FFFA84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b/>
          <w:sz w:val="28"/>
        </w:rPr>
        <w:t xml:space="preserve">Предложения </w:t>
      </w:r>
      <w:r>
        <w:rPr>
          <w:sz w:val="28"/>
        </w:rPr>
        <w:t xml:space="preserve">по корректировке прогнозных значений по доходам от перечисления части прибыли, остающейся после уплаты налогов и иных обязательных платежей государственных унитарных предприятий субъектов РФ, </w:t>
      </w:r>
      <w:r>
        <w:rPr>
          <w:b/>
          <w:sz w:val="28"/>
        </w:rPr>
        <w:t>отсутствуют</w:t>
      </w:r>
      <w:r>
        <w:rPr>
          <w:sz w:val="28"/>
        </w:rPr>
        <w:t>.</w:t>
      </w:r>
    </w:p>
    <w:p w14:paraId="013A5EE4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2.9.</w:t>
      </w:r>
      <w:r>
        <w:rPr>
          <w:b/>
          <w:sz w:val="28"/>
        </w:rPr>
        <w:t xml:space="preserve"> </w:t>
      </w:r>
      <w:r>
        <w:rPr>
          <w:sz w:val="28"/>
        </w:rPr>
        <w:t>Поступление</w:t>
      </w:r>
      <w:r>
        <w:rPr>
          <w:b/>
          <w:sz w:val="28"/>
        </w:rPr>
        <w:t xml:space="preserve"> прочих доходов от использования им</w:t>
      </w:r>
      <w:r>
        <w:rPr>
          <w:b/>
          <w:sz w:val="28"/>
        </w:rPr>
        <w:t xml:space="preserve">ущества и прав, находящихся в государственной </w:t>
      </w:r>
      <w:r>
        <w:rPr>
          <w:sz w:val="28"/>
        </w:rPr>
        <w:t>и муниципальной</w:t>
      </w:r>
      <w:r>
        <w:rPr>
          <w:b/>
          <w:sz w:val="28"/>
        </w:rPr>
        <w:t xml:space="preserve"> собственности</w:t>
      </w:r>
      <w:r>
        <w:rPr>
          <w:sz w:val="28"/>
        </w:rPr>
        <w:t xml:space="preserve"> </w:t>
      </w:r>
      <w:r>
        <w:rPr>
          <w:i/>
        </w:rPr>
        <w:t>(за исключением имущества бюджетных и автономных учреждений, а также имущества государственных и муниципальных унитарных предприятий, в том числе казенных)</w:t>
      </w:r>
      <w:r>
        <w:rPr>
          <w:sz w:val="28"/>
        </w:rPr>
        <w:t xml:space="preserve">, планируется в размере: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54F098B1" w14:textId="77777777">
        <w:trPr>
          <w:trHeight w:val="310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70880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DEEC5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DB975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5A76D29E" w14:textId="77777777">
        <w:trPr>
          <w:trHeight w:val="310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E9A50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2CB01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293F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36A30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D65C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4F36F5A9" w14:textId="77777777">
        <w:trPr>
          <w:trHeight w:val="31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AE851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F3B0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86 636,0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7451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86 495,0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2783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86 495,0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BCA2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86 495,0</w:t>
            </w:r>
          </w:p>
        </w:tc>
      </w:tr>
      <w:tr w:rsidR="00735601" w14:paraId="7E7823B2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B36EE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6F67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A214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C5A4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0,6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0C87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0,6</w:t>
            </w:r>
          </w:p>
        </w:tc>
      </w:tr>
      <w:tr w:rsidR="00735601" w14:paraId="1D91E632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E5E05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9D77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85 111,9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C789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-141,0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A990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CDA5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35601" w14:paraId="3AD3A1DC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8DFCA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 xml:space="preserve">к </w:t>
            </w:r>
            <w:r>
              <w:rPr>
                <w:sz w:val="20"/>
              </w:rPr>
              <w:t>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F0C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5 684,4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A8BB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99,8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F8C5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754F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</w:tbl>
    <w:p w14:paraId="63F540BF" w14:textId="77777777" w:rsidR="00735601" w:rsidRDefault="006D0C58">
      <w:pPr>
        <w:spacing w:before="60"/>
        <w:ind w:firstLine="709"/>
        <w:jc w:val="both"/>
        <w:rPr>
          <w:sz w:val="28"/>
        </w:rPr>
      </w:pPr>
      <w:r>
        <w:rPr>
          <w:sz w:val="28"/>
        </w:rPr>
        <w:t xml:space="preserve">Выборочной проверкой представленных прогнозов ГАДБ с данными Минфина расхождения не установлены. Основной объем прогнозных значений приходится на ДИО </w:t>
      </w:r>
      <w:r>
        <w:rPr>
          <w:sz w:val="28"/>
        </w:rPr>
        <w:t xml:space="preserve">– сумма неосновательного обогащения за пользование имущества КК. </w:t>
      </w:r>
    </w:p>
    <w:p w14:paraId="52C1D8B2" w14:textId="77777777" w:rsidR="00735601" w:rsidRDefault="006D0C58">
      <w:pPr>
        <w:spacing w:before="60"/>
        <w:ind w:firstLine="709"/>
        <w:jc w:val="both"/>
        <w:rPr>
          <w:sz w:val="28"/>
        </w:rPr>
      </w:pPr>
      <w:r>
        <w:rPr>
          <w:color w:val="00B050"/>
          <w:sz w:val="28"/>
        </w:rPr>
        <w:lastRenderedPageBreak/>
        <w:t>►</w:t>
      </w:r>
      <w:r>
        <w:rPr>
          <w:sz w:val="28"/>
        </w:rPr>
        <w:t xml:space="preserve">Обращает внимание, что по </w:t>
      </w:r>
      <w:r>
        <w:rPr>
          <w:sz w:val="28"/>
        </w:rPr>
        <w:t>департаменту по архитектуре и</w:t>
      </w:r>
      <w:r>
        <w:rPr>
          <w:sz w:val="28"/>
        </w:rPr>
        <w:t> </w:t>
      </w:r>
      <w:r>
        <w:rPr>
          <w:sz w:val="28"/>
        </w:rPr>
        <w:t xml:space="preserve">градостроительству КК </w:t>
      </w:r>
      <w:r>
        <w:rPr>
          <w:i/>
        </w:rPr>
        <w:t xml:space="preserve">(Оценка </w:t>
      </w:r>
      <w:r>
        <w:rPr>
          <w:i/>
        </w:rPr>
        <w:t xml:space="preserve">– 43,0 тыс., </w:t>
      </w:r>
      <w:r>
        <w:rPr>
          <w:i/>
        </w:rPr>
        <w:t xml:space="preserve">факт на 01.10.2024 </w:t>
      </w:r>
      <w:r>
        <w:rPr>
          <w:i/>
        </w:rPr>
        <w:t>– 47,0 тыс.</w:t>
      </w:r>
      <w:r>
        <w:rPr>
          <w:i/>
        </w:rPr>
        <w:t>)</w:t>
      </w:r>
      <w:r>
        <w:rPr>
          <w:sz w:val="28"/>
        </w:rPr>
        <w:t xml:space="preserve"> и Минтрансу</w:t>
      </w:r>
      <w:r>
        <w:rPr>
          <w:sz w:val="28"/>
          <w:vertAlign w:val="superscript"/>
        </w:rPr>
        <w:footnoteReference w:id="32"/>
      </w:r>
      <w:r>
        <w:rPr>
          <w:sz w:val="28"/>
          <w:vertAlign w:val="superscript"/>
        </w:rPr>
        <w:t xml:space="preserve"> </w:t>
      </w:r>
      <w:r>
        <w:rPr>
          <w:i/>
        </w:rPr>
        <w:t>(Оценка – 0,0, факт на 01.10.2024 – 36,1 тыс. рублей)</w:t>
      </w:r>
      <w:r>
        <w:rPr>
          <w:sz w:val="28"/>
        </w:rPr>
        <w:t xml:space="preserve"> </w:t>
      </w:r>
      <w:r>
        <w:rPr>
          <w:sz w:val="28"/>
        </w:rPr>
        <w:t>Оценка бюджета</w:t>
      </w:r>
      <w:r>
        <w:rPr>
          <w:sz w:val="28"/>
        </w:rPr>
        <w:t> </w:t>
      </w:r>
      <w:r>
        <w:rPr>
          <w:sz w:val="28"/>
        </w:rPr>
        <w:t>КК ниже наличии фактически поступивших доходов в краевой бюджет по с</w:t>
      </w:r>
      <w:r>
        <w:rPr>
          <w:sz w:val="28"/>
        </w:rPr>
        <w:t>остоянию на 01.09.2024</w:t>
      </w:r>
      <w:r>
        <w:rPr>
          <w:b/>
          <w:sz w:val="28"/>
        </w:rPr>
        <w:t xml:space="preserve">. Предложения </w:t>
      </w:r>
      <w:r>
        <w:rPr>
          <w:sz w:val="28"/>
        </w:rPr>
        <w:t>по корректировке плановых назначений на 2025–2027 годы</w:t>
      </w:r>
      <w:r>
        <w:rPr>
          <w:b/>
          <w:sz w:val="28"/>
        </w:rPr>
        <w:t xml:space="preserve"> отсутствуют</w:t>
      </w:r>
      <w:r>
        <w:rPr>
          <w:sz w:val="28"/>
        </w:rPr>
        <w:t>.</w:t>
      </w:r>
      <w:r>
        <w:rPr>
          <w:sz w:val="26"/>
        </w:rPr>
        <w:t xml:space="preserve"> </w:t>
      </w:r>
    </w:p>
    <w:p w14:paraId="71A3016C" w14:textId="77777777" w:rsidR="00735601" w:rsidRDefault="006D0C58">
      <w:pPr>
        <w:ind w:firstLine="709"/>
        <w:jc w:val="both"/>
        <w:rPr>
          <w:b/>
          <w:sz w:val="28"/>
        </w:rPr>
      </w:pPr>
      <w:r>
        <w:rPr>
          <w:color w:val="00B050"/>
          <w:sz w:val="28"/>
        </w:rPr>
        <w:t>►</w:t>
      </w:r>
      <w:r>
        <w:rPr>
          <w:sz w:val="28"/>
        </w:rPr>
        <w:t>Специалисты КСП КК неоднократно отмечали в заключениях, что</w:t>
      </w:r>
      <w:r>
        <w:rPr>
          <w:b/>
          <w:sz w:val="28"/>
        </w:rPr>
        <w:t xml:space="preserve"> прозрачности формирования доходной базы бюджета препятствует отсутствие в приложении 2 к з</w:t>
      </w:r>
      <w:r>
        <w:rPr>
          <w:b/>
          <w:sz w:val="28"/>
        </w:rPr>
        <w:t>аконопроекту и пояснительной записке к нему всех статей доходов, входящих в состав</w:t>
      </w:r>
      <w:r>
        <w:rPr>
          <w:sz w:val="28"/>
        </w:rPr>
        <w:t xml:space="preserve"> </w:t>
      </w:r>
      <w:r>
        <w:rPr>
          <w:b/>
          <w:sz w:val="28"/>
        </w:rPr>
        <w:t>подгруппы «Доходы от использования имущества, находящегося в государственной и муниципальной собственности» при наличии их расчетов и отражении в РИД.</w:t>
      </w:r>
    </w:p>
    <w:p w14:paraId="157A877F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b/>
          <w:i/>
          <w:sz w:val="28"/>
        </w:rPr>
        <w:t>2.10.</w:t>
      </w:r>
      <w:r>
        <w:rPr>
          <w:b/>
          <w:sz w:val="28"/>
        </w:rPr>
        <w:t xml:space="preserve"> </w:t>
      </w:r>
      <w:r>
        <w:rPr>
          <w:sz w:val="28"/>
        </w:rPr>
        <w:t xml:space="preserve">Динамика </w:t>
      </w:r>
      <w:r>
        <w:rPr>
          <w:b/>
          <w:sz w:val="28"/>
        </w:rPr>
        <w:t>доходов</w:t>
      </w:r>
      <w:r>
        <w:rPr>
          <w:b/>
          <w:sz w:val="28"/>
        </w:rPr>
        <w:t xml:space="preserve"> от уплаты платежей при пользовании природными ресурсами </w:t>
      </w:r>
      <w:r>
        <w:rPr>
          <w:sz w:val="28"/>
        </w:rPr>
        <w:t>приведена в таблице: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0BB6CFFD" w14:textId="77777777">
        <w:trPr>
          <w:trHeight w:hRule="exact" w:val="200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CBEF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713E6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3364C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7A540ED7" w14:textId="77777777">
        <w:trPr>
          <w:trHeight w:hRule="exact" w:val="416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5D03C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277E6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E6DD3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80521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995C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0C0ECF66" w14:textId="77777777">
        <w:trPr>
          <w:trHeight w:hRule="exact"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A519C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978C2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235 758,0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A6EF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246 324,0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FADF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242 665,0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15AA2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243 878,0</w:t>
            </w:r>
          </w:p>
        </w:tc>
      </w:tr>
      <w:tr w:rsidR="00735601" w14:paraId="3ED964BC" w14:textId="77777777">
        <w:trPr>
          <w:trHeight w:hRule="exact"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727AA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973A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6D82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1,4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E83F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1,6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7EF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1,8</w:t>
            </w:r>
          </w:p>
        </w:tc>
      </w:tr>
      <w:tr w:rsidR="00735601" w14:paraId="1DB2AFB2" w14:textId="77777777">
        <w:trPr>
          <w:trHeight w:hRule="exact"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5C4F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41EA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-10 330,4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282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10 566,0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A6C2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-3 659,0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45FF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1 213,0</w:t>
            </w:r>
          </w:p>
        </w:tc>
      </w:tr>
      <w:tr w:rsidR="00735601" w14:paraId="09269CED" w14:textId="77777777">
        <w:trPr>
          <w:trHeight w:hRule="exact" w:val="222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B0A37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D5E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95,8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26E9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104,5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598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98,5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3C8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100,5</w:t>
            </w:r>
          </w:p>
        </w:tc>
      </w:tr>
    </w:tbl>
    <w:p w14:paraId="295EE513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Прогноз доходов по плате за негативное воздействие на окружающую среду (далее – плата за НВОС) соответствует данным ГАДБ – Южного межрегионального управления Росприроднадзора</w:t>
      </w:r>
      <w:r>
        <w:rPr>
          <w:sz w:val="28"/>
          <w:vertAlign w:val="superscript"/>
        </w:rPr>
        <w:footnoteReference w:id="33"/>
      </w:r>
      <w:r>
        <w:rPr>
          <w:sz w:val="28"/>
        </w:rPr>
        <w:t xml:space="preserve">. </w:t>
      </w:r>
    </w:p>
    <w:p w14:paraId="3886CD7D" w14:textId="77777777" w:rsidR="00735601" w:rsidRDefault="006D0C58">
      <w:pPr>
        <w:spacing w:line="216" w:lineRule="auto"/>
        <w:ind w:firstLine="709"/>
        <w:jc w:val="both"/>
        <w:rPr>
          <w:i/>
        </w:rPr>
      </w:pPr>
      <w:proofErr w:type="spellStart"/>
      <w:r>
        <w:rPr>
          <w:i/>
        </w:rPr>
        <w:t>Справочно</w:t>
      </w:r>
      <w:proofErr w:type="spellEnd"/>
      <w:r>
        <w:rPr>
          <w:i/>
        </w:rPr>
        <w:t>.</w:t>
      </w:r>
      <w:r>
        <w:t xml:space="preserve"> </w:t>
      </w:r>
      <w:r>
        <w:rPr>
          <w:i/>
        </w:rPr>
        <w:t>В соответствии с п. 4 ст. 16.6, п. 5 ст. 75.1 и п. 5 ст. 78.2 Феде</w:t>
      </w:r>
      <w:r>
        <w:rPr>
          <w:i/>
        </w:rPr>
        <w:t xml:space="preserve">рального закона от 10.01.2002 № 7-ФЗ «Об охране окружающей среды» </w:t>
      </w:r>
      <w:r>
        <w:rPr>
          <w:sz w:val="28"/>
        </w:rPr>
        <w:t xml:space="preserve">(далее – Федеральный закон № 7-ФЗ) </w:t>
      </w:r>
      <w:r>
        <w:rPr>
          <w:i/>
        </w:rPr>
        <w:t>денежные средства от платы за НВОС, административных штрафов за административные правонарушения в области охраны окружающей среды и природопользования, и с</w:t>
      </w:r>
      <w:r>
        <w:rPr>
          <w:i/>
        </w:rPr>
        <w:t>редств от платежей по искам о возмещении вреда, причиненного окружающей среде вследствие нарушений обязательных требований, а также от платежей, уплачиваемых при добровольном возмещении вреда, причиненного окружающей среде вследствие нарушений обязательных</w:t>
      </w:r>
      <w:r>
        <w:rPr>
          <w:i/>
        </w:rPr>
        <w:t xml:space="preserve"> требований </w:t>
      </w:r>
      <w:r>
        <w:rPr>
          <w:sz w:val="28"/>
        </w:rPr>
        <w:t>(далее – экологические платежи)</w:t>
      </w:r>
      <w:r>
        <w:rPr>
          <w:i/>
        </w:rPr>
        <w:t>, предусматривают целевой характер использования на выявление объектов накопленного вреда окружающей среде, организацию ликвидации накопленного вреда окружающей среде и иные мероприятия по предотвращению и (или) с</w:t>
      </w:r>
      <w:r>
        <w:rPr>
          <w:i/>
        </w:rPr>
        <w:t>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</w:t>
      </w:r>
      <w:r>
        <w:rPr>
          <w:i/>
        </w:rPr>
        <w:t>ных ресурсов, обеспечению экологической безопасности.</w:t>
      </w:r>
    </w:p>
    <w:p w14:paraId="2686081B" w14:textId="77777777" w:rsidR="00735601" w:rsidRDefault="006D0C58">
      <w:pPr>
        <w:spacing w:line="216" w:lineRule="auto"/>
        <w:ind w:firstLine="706"/>
        <w:jc w:val="both"/>
        <w:rPr>
          <w:i/>
        </w:rPr>
      </w:pPr>
      <w:r>
        <w:rPr>
          <w:i/>
        </w:rPr>
        <w:t>Соответствующий Пл</w:t>
      </w:r>
      <w:r>
        <w:rPr>
          <w:i/>
        </w:rPr>
        <w:t xml:space="preserve">ан мероприятий, указанных в </w:t>
      </w:r>
      <w:hyperlink r:id="rId6" w:history="1">
        <w:r>
          <w:rPr>
            <w:i/>
          </w:rPr>
          <w:t>п. 1 ст. 16(6)</w:t>
        </w:r>
      </w:hyperlink>
      <w:r>
        <w:rPr>
          <w:i/>
        </w:rPr>
        <w:t xml:space="preserve">, </w:t>
      </w:r>
      <w:hyperlink r:id="rId7" w:history="1">
        <w:r>
          <w:rPr>
            <w:i/>
          </w:rPr>
          <w:t>п. 1 ст. 75(1)</w:t>
        </w:r>
      </w:hyperlink>
      <w:r>
        <w:rPr>
          <w:i/>
        </w:rPr>
        <w:t xml:space="preserve"> и </w:t>
      </w:r>
      <w:hyperlink r:id="rId8" w:history="1">
        <w:r>
          <w:rPr>
            <w:i/>
          </w:rPr>
          <w:t>п. 1 ст. 78(2)</w:t>
        </w:r>
      </w:hyperlink>
      <w:r>
        <w:rPr>
          <w:i/>
        </w:rPr>
        <w:t xml:space="preserve"> Федерального закона № 7-ФЗ, на 2024–2026 годы согласован с министерством природных ресурсов и экологии РФ</w:t>
      </w:r>
      <w:r>
        <w:rPr>
          <w:i/>
        </w:rPr>
        <w:t xml:space="preserve"> и утвержден 02.10.2024 министерством природных ресурсов КК.</w:t>
      </w:r>
    </w:p>
    <w:p w14:paraId="7EF1C986" w14:textId="77777777" w:rsidR="00735601" w:rsidRDefault="006D0C58">
      <w:pPr>
        <w:spacing w:line="216" w:lineRule="auto"/>
        <w:ind w:firstLine="706"/>
        <w:jc w:val="both"/>
        <w:rPr>
          <w:i/>
        </w:rPr>
      </w:pPr>
      <w:r>
        <w:rPr>
          <w:i/>
        </w:rPr>
        <w:t xml:space="preserve">В соответствии с </w:t>
      </w:r>
      <w:proofErr w:type="spellStart"/>
      <w:r>
        <w:rPr>
          <w:i/>
        </w:rPr>
        <w:t>п.п</w:t>
      </w:r>
      <w:proofErr w:type="spellEnd"/>
      <w:r>
        <w:rPr>
          <w:i/>
        </w:rPr>
        <w:t>. 32, 105 вышеуказанного Плана объем расходов бюджета КК, направляемых в 2025 году на природоохранные мероприятия, запланирован в сумме 196 492,1</w:t>
      </w:r>
      <w:r>
        <w:rPr>
          <w:i/>
        </w:rPr>
        <w:t> </w:t>
      </w:r>
      <w:r>
        <w:rPr>
          <w:i/>
        </w:rPr>
        <w:t>тыс. рублей:</w:t>
      </w:r>
    </w:p>
    <w:p w14:paraId="1CCD1218" w14:textId="77777777" w:rsidR="00735601" w:rsidRDefault="006D0C58">
      <w:pPr>
        <w:spacing w:line="216" w:lineRule="auto"/>
        <w:ind w:firstLine="706"/>
        <w:jc w:val="both"/>
        <w:rPr>
          <w:i/>
        </w:rPr>
      </w:pPr>
      <w:r>
        <w:rPr>
          <w:i/>
        </w:rPr>
        <w:t>12 348,3</w:t>
      </w:r>
      <w:r>
        <w:rPr>
          <w:i/>
        </w:rPr>
        <w:t> </w:t>
      </w:r>
      <w:r>
        <w:rPr>
          <w:i/>
        </w:rPr>
        <w:t>тыс. ру</w:t>
      </w:r>
      <w:r>
        <w:rPr>
          <w:i/>
        </w:rPr>
        <w:t xml:space="preserve">блей </w:t>
      </w:r>
      <w:r>
        <w:rPr>
          <w:i/>
        </w:rPr>
        <w:t>–</w:t>
      </w:r>
      <w:r>
        <w:rPr>
          <w:i/>
        </w:rPr>
        <w:t xml:space="preserve"> на разработку проектно-сметной документации рекультивации земельных участков - свалки твердых бытовых (коммунальных) отходов на открытой местности, граничащей с ЛПДС «Крымская» (с кадастровыми номерами 23:45:0103002:119 и 23:45:0103002:2);</w:t>
      </w:r>
    </w:p>
    <w:p w14:paraId="023BD24D" w14:textId="77777777" w:rsidR="00735601" w:rsidRDefault="006D0C58">
      <w:pPr>
        <w:spacing w:line="216" w:lineRule="auto"/>
        <w:ind w:firstLine="706"/>
        <w:jc w:val="both"/>
        <w:rPr>
          <w:i/>
        </w:rPr>
      </w:pPr>
      <w:r>
        <w:rPr>
          <w:i/>
        </w:rPr>
        <w:lastRenderedPageBreak/>
        <w:t xml:space="preserve">184 143,8 тыс. рублей </w:t>
      </w:r>
      <w:r>
        <w:rPr>
          <w:i/>
        </w:rPr>
        <w:t>–</w:t>
      </w:r>
      <w:r>
        <w:rPr>
          <w:i/>
        </w:rPr>
        <w:t xml:space="preserve"> на ликвидацию объекта накопленного вреда окружающей среде, включенного в государственный реестр объектов накопленного вреда окружающей среде в Белореченском районе</w:t>
      </w:r>
      <w:r>
        <w:rPr>
          <w:sz w:val="28"/>
          <w:vertAlign w:val="superscript"/>
        </w:rPr>
        <w:footnoteReference w:id="34"/>
      </w:r>
      <w:r>
        <w:rPr>
          <w:i/>
        </w:rPr>
        <w:t>.</w:t>
      </w:r>
    </w:p>
    <w:p w14:paraId="4BFF948F" w14:textId="77777777" w:rsidR="00735601" w:rsidRDefault="006D0C58">
      <w:pPr>
        <w:spacing w:line="216" w:lineRule="auto"/>
        <w:ind w:firstLine="706"/>
        <w:jc w:val="both"/>
        <w:rPr>
          <w:i/>
        </w:rPr>
      </w:pPr>
      <w:r>
        <w:rPr>
          <w:i/>
        </w:rPr>
        <w:t>Соответствующее распределение субсидий бюджетам муниципальных образований на природоохранные мероприятий предусмотрено ст. 10 Законопроекта</w:t>
      </w:r>
      <w:r>
        <w:rPr>
          <w:sz w:val="28"/>
          <w:vertAlign w:val="superscript"/>
        </w:rPr>
        <w:footnoteReference w:id="35"/>
      </w:r>
      <w:r>
        <w:rPr>
          <w:i/>
        </w:rPr>
        <w:t xml:space="preserve">. </w:t>
      </w:r>
    </w:p>
    <w:p w14:paraId="26F321D2" w14:textId="77777777" w:rsidR="00735601" w:rsidRDefault="006D0C58">
      <w:pPr>
        <w:spacing w:line="216" w:lineRule="auto"/>
        <w:ind w:firstLine="706"/>
        <w:jc w:val="both"/>
        <w:rPr>
          <w:i/>
        </w:rPr>
      </w:pPr>
      <w:r>
        <w:rPr>
          <w:i/>
        </w:rPr>
        <w:t>Запланированный объем финансирования природоохранных мероприятий в 2025 году превышает прогнозный объем поступле</w:t>
      </w:r>
      <w:r>
        <w:rPr>
          <w:i/>
        </w:rPr>
        <w:t>ний экологических платежей (166 372,8 тыс. рублей), что соответствует требованиям п.</w:t>
      </w:r>
      <w:r>
        <w:rPr>
          <w:i/>
        </w:rPr>
        <w:t> </w:t>
      </w:r>
      <w:r>
        <w:rPr>
          <w:i/>
        </w:rPr>
        <w:t>5 Правил разработки и согласования плана мероприятий</w:t>
      </w:r>
      <w:r>
        <w:rPr>
          <w:sz w:val="28"/>
          <w:vertAlign w:val="superscript"/>
        </w:rPr>
        <w:footnoteReference w:id="36"/>
      </w:r>
      <w:r>
        <w:rPr>
          <w:i/>
        </w:rPr>
        <w:t>.</w:t>
      </w:r>
    </w:p>
    <w:p w14:paraId="58654709" w14:textId="77777777" w:rsidR="00735601" w:rsidRDefault="006D0C58">
      <w:pPr>
        <w:spacing w:line="216" w:lineRule="auto"/>
        <w:ind w:firstLine="709"/>
        <w:jc w:val="both"/>
        <w:rPr>
          <w:i/>
        </w:rPr>
      </w:pPr>
      <w:r>
        <w:rPr>
          <w:i/>
        </w:rPr>
        <w:t>Неиспользованные остатки денежных средств от поступивших в бюджет КК в 2023 году экологических платежей (в сумме 16</w:t>
      </w:r>
      <w:r>
        <w:rPr>
          <w:i/>
        </w:rPr>
        <w:t>4 863,7 тыс. рублей), а также прогнозные поступления экологических платежей в 2024 оду (в сумме 165 849,8 тыс. рублей), запланированы к использованию в полном объеме на финансирование природоохранных мероприятий 2024 года (на общую сумму 440 517,2 тыс. руб</w:t>
      </w:r>
      <w:r>
        <w:rPr>
          <w:i/>
        </w:rPr>
        <w:t xml:space="preserve">лей). Отчет о реализации Плана мероприятий, указанных в </w:t>
      </w:r>
      <w:hyperlink r:id="rId9" w:history="1">
        <w:r>
          <w:rPr>
            <w:i/>
          </w:rPr>
          <w:t>п. 1 ст. 16(6)</w:t>
        </w:r>
      </w:hyperlink>
      <w:r>
        <w:rPr>
          <w:i/>
        </w:rPr>
        <w:t xml:space="preserve">, </w:t>
      </w:r>
      <w:hyperlink r:id="rId10" w:history="1">
        <w:r>
          <w:rPr>
            <w:i/>
          </w:rPr>
          <w:t>п. 1 ст. 75(1)</w:t>
        </w:r>
      </w:hyperlink>
      <w:r>
        <w:rPr>
          <w:i/>
        </w:rPr>
        <w:t xml:space="preserve"> и </w:t>
      </w:r>
      <w:hyperlink r:id="rId11" w:history="1">
        <w:r>
          <w:rPr>
            <w:i/>
          </w:rPr>
          <w:t>п. 1 ст. 78(2)</w:t>
        </w:r>
      </w:hyperlink>
      <w:r>
        <w:rPr>
          <w:i/>
        </w:rPr>
        <w:t xml:space="preserve"> Федерального закона № 7-ФЗ, подлежит направлению в министерство природных рес</w:t>
      </w:r>
      <w:r>
        <w:rPr>
          <w:i/>
        </w:rPr>
        <w:t>урсов и экологии Российской Федерации не позднее 15 числа месяца, следующего за отчетным годом.</w:t>
      </w:r>
    </w:p>
    <w:p w14:paraId="406304A1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Расхождений с прогнозом ГАДБ </w:t>
      </w:r>
      <w:r>
        <w:rPr>
          <w:i/>
        </w:rPr>
        <w:t>(МПР и УФНС)</w:t>
      </w:r>
      <w:r>
        <w:rPr>
          <w:sz w:val="28"/>
        </w:rPr>
        <w:t xml:space="preserve"> в части поступления платежей </w:t>
      </w:r>
      <w:r>
        <w:rPr>
          <w:b/>
          <w:sz w:val="28"/>
        </w:rPr>
        <w:t>при пользовании недрами</w:t>
      </w:r>
      <w:r>
        <w:rPr>
          <w:sz w:val="28"/>
        </w:rPr>
        <w:t xml:space="preserve"> не установлено.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В основу расчета поступлений </w:t>
      </w:r>
      <w:r>
        <w:rPr>
          <w:b/>
          <w:sz w:val="28"/>
        </w:rPr>
        <w:t>платы за использован</w:t>
      </w:r>
      <w:r>
        <w:rPr>
          <w:b/>
          <w:sz w:val="28"/>
        </w:rPr>
        <w:t>ие лесов</w:t>
      </w:r>
      <w:r>
        <w:rPr>
          <w:sz w:val="28"/>
        </w:rPr>
        <w:t xml:space="preserve"> приняты прогнозные данные ГАДБ </w:t>
      </w:r>
      <w:r>
        <w:rPr>
          <w:i/>
        </w:rPr>
        <w:t>(МПР)</w:t>
      </w:r>
      <w:r>
        <w:rPr>
          <w:sz w:val="28"/>
        </w:rPr>
        <w:t xml:space="preserve">. </w:t>
      </w:r>
      <w:r>
        <w:rPr>
          <w:b/>
          <w:sz w:val="28"/>
        </w:rPr>
        <w:t xml:space="preserve">Предложения </w:t>
      </w:r>
      <w:r>
        <w:rPr>
          <w:sz w:val="28"/>
        </w:rPr>
        <w:t xml:space="preserve">по корректировке прогнозных значений по платежам при пользовании природными ресурсами </w:t>
      </w:r>
      <w:r>
        <w:rPr>
          <w:b/>
          <w:sz w:val="28"/>
        </w:rPr>
        <w:t>отсутствуют</w:t>
      </w:r>
      <w:r>
        <w:rPr>
          <w:sz w:val="28"/>
        </w:rPr>
        <w:t>.</w:t>
      </w:r>
    </w:p>
    <w:p w14:paraId="31B55E98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b/>
          <w:i/>
          <w:sz w:val="28"/>
        </w:rPr>
        <w:t>2.11.</w:t>
      </w:r>
      <w:r>
        <w:rPr>
          <w:i/>
          <w:sz w:val="28"/>
        </w:rPr>
        <w:t xml:space="preserve"> </w:t>
      </w:r>
      <w:r>
        <w:rPr>
          <w:sz w:val="28"/>
        </w:rPr>
        <w:t xml:space="preserve">Прогноз доходов </w:t>
      </w:r>
      <w:r>
        <w:rPr>
          <w:b/>
          <w:sz w:val="28"/>
        </w:rPr>
        <w:t xml:space="preserve">от оказания платных услуг и компенсации затрат государства </w:t>
      </w:r>
      <w:r>
        <w:rPr>
          <w:sz w:val="28"/>
        </w:rPr>
        <w:t>в законопроекте с</w:t>
      </w:r>
      <w:r>
        <w:rPr>
          <w:sz w:val="28"/>
        </w:rPr>
        <w:t xml:space="preserve">оставляет: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196681CA" w14:textId="77777777">
        <w:trPr>
          <w:trHeight w:val="239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AB95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553CA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C38A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5D8B23DE" w14:textId="77777777">
        <w:trPr>
          <w:trHeight w:val="212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DE66C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D6E03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24C71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B85B5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557ED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4ACA7030" w14:textId="77777777">
        <w:trPr>
          <w:trHeight w:val="3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BF6C2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34A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796 627,0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1C7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505 933,0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2912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323 457,7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86C9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193 375,6</w:t>
            </w:r>
          </w:p>
        </w:tc>
      </w:tr>
      <w:tr w:rsidR="00735601" w14:paraId="0548EE08" w14:textId="77777777">
        <w:trPr>
          <w:trHeight w:val="247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EB608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A2D8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10E4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6DC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9E0F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1,4</w:t>
            </w:r>
          </w:p>
        </w:tc>
      </w:tr>
      <w:tr w:rsidR="00735601" w14:paraId="76A5573F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4B26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FCB0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275 531,6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C4CF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-290 694,0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8AE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-182 475,3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9A9D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-130 082,1</w:t>
            </w:r>
          </w:p>
        </w:tc>
      </w:tr>
      <w:tr w:rsidR="00735601" w14:paraId="7DB19BE9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10A4B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A33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152,9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5F86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63,5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551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63,9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48DD2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59,8</w:t>
            </w:r>
          </w:p>
        </w:tc>
      </w:tr>
    </w:tbl>
    <w:p w14:paraId="21B725B1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Выборочной проверкой расхождений с прогнозами ГАДБ не установлено. Однако с учетом фактических на 01.10.2024 поступлений указанных доходов по ряду ГАДБ Оценка бюджета КК занижена.</w:t>
      </w:r>
    </w:p>
    <w:p w14:paraId="0A2DCE72" w14:textId="77777777" w:rsidR="00735601" w:rsidRDefault="006D0C58">
      <w:pPr>
        <w:ind w:firstLine="709"/>
        <w:jc w:val="right"/>
      </w:pPr>
      <w:proofErr w:type="spellStart"/>
      <w:r>
        <w:t>тыс</w:t>
      </w:r>
      <w:proofErr w:type="spellEnd"/>
      <w:r>
        <w:t xml:space="preserve"> </w:t>
      </w:r>
      <w:r>
        <w:t>рублей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20"/>
        <w:gridCol w:w="1216"/>
        <w:gridCol w:w="2489"/>
        <w:gridCol w:w="1682"/>
        <w:gridCol w:w="2032"/>
      </w:tblGrid>
      <w:tr w:rsidR="00735601" w14:paraId="6D058F12" w14:textId="77777777">
        <w:trPr>
          <w:trHeight w:val="20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5A869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Наименование ГАДБ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A7213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Код ГАДБ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72A00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Факт на 01.10.2024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33FCF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бюджета КК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39AC8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Отклонение Оценки от факта на 01.10.2024</w:t>
            </w:r>
          </w:p>
        </w:tc>
      </w:tr>
      <w:tr w:rsidR="00735601" w14:paraId="04DB11E5" w14:textId="77777777">
        <w:trPr>
          <w:trHeight w:val="247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E8A06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proofErr w:type="spellStart"/>
            <w:r>
              <w:rPr>
                <w:color w:val="000000" w:themeColor="dark1"/>
                <w:sz w:val="20"/>
              </w:rPr>
              <w:t>Депстрой</w:t>
            </w:r>
            <w:proofErr w:type="spell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1AB9F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824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1C961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6 666,5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7672E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5 147,7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E1A7E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-1 518,8</w:t>
            </w:r>
          </w:p>
        </w:tc>
      </w:tr>
      <w:tr w:rsidR="00735601" w14:paraId="24DD536E" w14:textId="77777777">
        <w:trPr>
          <w:trHeight w:val="20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A218E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proofErr w:type="spellStart"/>
            <w:r>
              <w:rPr>
                <w:color w:val="000000" w:themeColor="dark1"/>
                <w:sz w:val="20"/>
              </w:rPr>
              <w:t>Минобр</w:t>
            </w:r>
            <w:proofErr w:type="spell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3A99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825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2DCA4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8 616,1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77058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5 809,7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DC7F9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-2 806,4</w:t>
            </w:r>
          </w:p>
        </w:tc>
      </w:tr>
      <w:tr w:rsidR="00735601" w14:paraId="649CD6B9" w14:textId="77777777">
        <w:trPr>
          <w:trHeight w:val="20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670BC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proofErr w:type="spellStart"/>
            <w:r>
              <w:rPr>
                <w:color w:val="000000" w:themeColor="dark1"/>
                <w:sz w:val="20"/>
              </w:rPr>
              <w:t>МинТЭК</w:t>
            </w:r>
            <w:proofErr w:type="spellEnd"/>
            <w:r>
              <w:rPr>
                <w:color w:val="000000" w:themeColor="dark1"/>
                <w:sz w:val="20"/>
              </w:rPr>
              <w:t xml:space="preserve"> и ЖКХ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FCAF8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823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A4A6E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12 609,1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662F6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11 372,0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F3ABA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-1 237,1</w:t>
            </w:r>
          </w:p>
        </w:tc>
      </w:tr>
      <w:tr w:rsidR="00735601" w14:paraId="4578F6B7" w14:textId="77777777">
        <w:trPr>
          <w:trHeight w:val="223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65949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 xml:space="preserve">Минтранс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C3CCD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842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58B45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 xml:space="preserve">20 </w:t>
            </w:r>
            <w:r>
              <w:rPr>
                <w:color w:val="000000" w:themeColor="dark1"/>
                <w:sz w:val="20"/>
              </w:rPr>
              <w:t>125,7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CA737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18 796,4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7B7F4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-1 329,3</w:t>
            </w:r>
          </w:p>
        </w:tc>
      </w:tr>
      <w:tr w:rsidR="00735601" w14:paraId="00A104C9" w14:textId="77777777">
        <w:trPr>
          <w:trHeight w:val="20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D939C" w14:textId="77777777" w:rsidR="00735601" w:rsidRDefault="006D0C58">
            <w:pPr>
              <w:spacing w:line="216" w:lineRule="auto"/>
              <w:jc w:val="center"/>
              <w:rPr>
                <w:b/>
                <w:color w:val="000000" w:themeColor="dark1"/>
                <w:sz w:val="20"/>
              </w:rPr>
            </w:pPr>
            <w:r>
              <w:rPr>
                <w:b/>
                <w:color w:val="000000" w:themeColor="dark1"/>
                <w:sz w:val="20"/>
              </w:rPr>
              <w:t>Итого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4AC4D" w14:textId="77777777" w:rsidR="00735601" w:rsidRDefault="006D0C58">
            <w:pPr>
              <w:spacing w:line="216" w:lineRule="auto"/>
              <w:jc w:val="center"/>
              <w:rPr>
                <w:b/>
                <w:color w:val="000000" w:themeColor="dark1"/>
                <w:sz w:val="20"/>
              </w:rPr>
            </w:pPr>
            <w:r>
              <w:rPr>
                <w:b/>
                <w:color w:val="000000" w:themeColor="dark1"/>
                <w:sz w:val="20"/>
              </w:rPr>
              <w:t>х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2DDA5" w14:textId="77777777" w:rsidR="00735601" w:rsidRDefault="006D0C58">
            <w:pPr>
              <w:spacing w:line="216" w:lineRule="auto"/>
              <w:jc w:val="center"/>
              <w:rPr>
                <w:b/>
                <w:color w:val="000000" w:themeColor="dark1"/>
                <w:sz w:val="20"/>
              </w:rPr>
            </w:pPr>
            <w:r>
              <w:rPr>
                <w:b/>
                <w:color w:val="000000" w:themeColor="dark1"/>
                <w:sz w:val="20"/>
              </w:rPr>
              <w:t>х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DA3FC" w14:textId="77777777" w:rsidR="00735601" w:rsidRDefault="006D0C58">
            <w:pPr>
              <w:spacing w:line="216" w:lineRule="auto"/>
              <w:jc w:val="center"/>
              <w:rPr>
                <w:b/>
                <w:color w:val="000000" w:themeColor="dark1"/>
                <w:sz w:val="20"/>
              </w:rPr>
            </w:pPr>
            <w:r>
              <w:rPr>
                <w:b/>
                <w:color w:val="000000" w:themeColor="dark1"/>
                <w:sz w:val="20"/>
              </w:rPr>
              <w:t>х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D85C" w14:textId="77777777" w:rsidR="00735601" w:rsidRDefault="006D0C58">
            <w:pPr>
              <w:spacing w:line="216" w:lineRule="auto"/>
              <w:jc w:val="center"/>
              <w:rPr>
                <w:b/>
                <w:color w:val="000000" w:themeColor="dark1"/>
                <w:sz w:val="20"/>
              </w:rPr>
            </w:pPr>
            <w:r>
              <w:rPr>
                <w:b/>
                <w:color w:val="000000" w:themeColor="dark1"/>
                <w:sz w:val="20"/>
              </w:rPr>
              <w:t>-6 891,6</w:t>
            </w:r>
          </w:p>
        </w:tc>
      </w:tr>
    </w:tbl>
    <w:p w14:paraId="3C4151CF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Ввиду вышесказанного объем доходов по доходам от оказания платных услуг и компенсации затрат государства по итогам 2024 года может составить </w:t>
      </w:r>
      <w:r>
        <w:rPr>
          <w:b/>
          <w:sz w:val="28"/>
        </w:rPr>
        <w:t>803 518 тыс. рублей</w:t>
      </w:r>
      <w:r>
        <w:rPr>
          <w:sz w:val="28"/>
        </w:rPr>
        <w:t>, что на 6 891,0 тыс. рублей больше Оценки бюджета КК.</w:t>
      </w:r>
    </w:p>
    <w:p w14:paraId="30EC5448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2.12.</w:t>
      </w:r>
      <w:r>
        <w:rPr>
          <w:sz w:val="28"/>
        </w:rPr>
        <w:t xml:space="preserve"> Поступление </w:t>
      </w:r>
      <w:r>
        <w:rPr>
          <w:b/>
          <w:sz w:val="28"/>
        </w:rPr>
        <w:t xml:space="preserve">доходов от </w:t>
      </w:r>
      <w:r>
        <w:rPr>
          <w:b/>
          <w:sz w:val="28"/>
        </w:rPr>
        <w:t>продажи материальных и нематериальных активов</w:t>
      </w:r>
      <w:r>
        <w:rPr>
          <w:sz w:val="28"/>
        </w:rPr>
        <w:t xml:space="preserve"> прогнозируется: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6BCEE279" w14:textId="77777777">
        <w:trPr>
          <w:trHeight w:val="200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A2A8A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EEEEA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475F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560693FF" w14:textId="77777777">
        <w:trPr>
          <w:trHeight w:val="200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3296D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922FA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F8559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6778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D5304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79FCFC98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88BC8" w14:textId="77777777" w:rsidR="00735601" w:rsidRDefault="006D0C58">
            <w:pPr>
              <w:spacing w:line="228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751F2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1 138 592,0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F8608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861 879,0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5C7EF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921 125,0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3EC4D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982 556,0</w:t>
            </w:r>
          </w:p>
        </w:tc>
      </w:tr>
      <w:tr w:rsidR="00735601" w14:paraId="0B2AC8E5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33D04" w14:textId="77777777" w:rsidR="00735601" w:rsidRDefault="006D0C58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C5A7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3739A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6D646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73AE3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</w:tr>
      <w:tr w:rsidR="00735601" w14:paraId="42270E9E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9B60A" w14:textId="77777777" w:rsidR="00735601" w:rsidRDefault="006D0C58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 xml:space="preserve">к </w:t>
            </w:r>
            <w:r>
              <w:rPr>
                <w:sz w:val="20"/>
              </w:rPr>
              <w:t>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93DA1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374 826,6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E1279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-276 713,0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75C49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59 246,0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3C6E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61 431,0</w:t>
            </w:r>
          </w:p>
        </w:tc>
      </w:tr>
      <w:tr w:rsidR="00735601" w14:paraId="47290DED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A840" w14:textId="77777777" w:rsidR="00735601" w:rsidRDefault="006D0C58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B8BD3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149,1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FD8C5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75,7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BE379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106,9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24DA1" w14:textId="77777777" w:rsidR="00735601" w:rsidRDefault="006D0C58">
            <w:pPr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106,7</w:t>
            </w:r>
          </w:p>
        </w:tc>
      </w:tr>
    </w:tbl>
    <w:p w14:paraId="0D082148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Выборочной сверкой с прогнозом ГАДБ установлено, что данные Минфина КК </w:t>
      </w:r>
      <w:r>
        <w:rPr>
          <w:b/>
          <w:sz w:val="28"/>
        </w:rPr>
        <w:t>ниже ожидаемой</w:t>
      </w:r>
      <w:r>
        <w:rPr>
          <w:sz w:val="28"/>
        </w:rPr>
        <w:t xml:space="preserve"> оценки ДИО в отношении доходов от продажи земельных участков на 134,6 тыс. рублей. Кроме того, с учетом фактических на 01.10.2024 поступлений указанных доходов по ряду ГА</w:t>
      </w:r>
      <w:r>
        <w:rPr>
          <w:sz w:val="28"/>
        </w:rPr>
        <w:t xml:space="preserve">ДБ Оценка бюджета КК занижена </w:t>
      </w:r>
      <w:r>
        <w:rPr>
          <w:i/>
        </w:rPr>
        <w:t>(приведена информация о превышении Оценки бюджета на КК больше, чем на 10,0 тыс. рублей)</w:t>
      </w:r>
      <w:r>
        <w:rPr>
          <w:sz w:val="28"/>
        </w:rPr>
        <w:t>.</w:t>
      </w:r>
    </w:p>
    <w:p w14:paraId="0BF17504" w14:textId="77777777" w:rsidR="00735601" w:rsidRDefault="006D0C58">
      <w:pPr>
        <w:ind w:firstLine="709"/>
        <w:jc w:val="right"/>
      </w:pPr>
      <w:proofErr w:type="spellStart"/>
      <w:r>
        <w:t>тыс</w:t>
      </w:r>
      <w:proofErr w:type="spellEnd"/>
      <w:r>
        <w:t xml:space="preserve"> рублей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20"/>
        <w:gridCol w:w="1216"/>
        <w:gridCol w:w="2489"/>
        <w:gridCol w:w="1682"/>
        <w:gridCol w:w="2032"/>
      </w:tblGrid>
      <w:tr w:rsidR="00735601" w14:paraId="4921568E" w14:textId="77777777">
        <w:trPr>
          <w:trHeight w:val="30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D439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Наименование ГАДБ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46A45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Код ГАДБ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DB18E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Факт на 01.10.2024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18247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бюджета КК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FDB00" w14:textId="77777777" w:rsidR="00735601" w:rsidRDefault="006D0C58">
            <w:pPr>
              <w:spacing w:line="228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Отклонение Оценки от факта на 01.10.2024</w:t>
            </w:r>
          </w:p>
        </w:tc>
      </w:tr>
      <w:tr w:rsidR="00735601" w14:paraId="7130CF8D" w14:textId="77777777">
        <w:trPr>
          <w:trHeight w:val="30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27156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proofErr w:type="spellStart"/>
            <w:r>
              <w:rPr>
                <w:color w:val="000000" w:themeColor="dark1"/>
                <w:sz w:val="20"/>
              </w:rPr>
              <w:t>Минобр</w:t>
            </w:r>
            <w:proofErr w:type="spell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2AB5C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825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4CE53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163,9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C2131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153,0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222E0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-10,9</w:t>
            </w:r>
          </w:p>
        </w:tc>
      </w:tr>
      <w:tr w:rsidR="00735601" w14:paraId="4EE8FA69" w14:textId="77777777">
        <w:trPr>
          <w:trHeight w:val="263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74EE1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proofErr w:type="spellStart"/>
            <w:r>
              <w:rPr>
                <w:color w:val="000000" w:themeColor="dark1"/>
                <w:sz w:val="20"/>
              </w:rPr>
              <w:t>Деп</w:t>
            </w:r>
            <w:proofErr w:type="spellEnd"/>
            <w:r>
              <w:rPr>
                <w:color w:val="000000" w:themeColor="dark1"/>
                <w:sz w:val="20"/>
              </w:rPr>
              <w:t xml:space="preserve">-т по делам казачества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9F4EA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832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5937D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625,3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8247D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552,0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C8F78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-73,3</w:t>
            </w:r>
          </w:p>
        </w:tc>
      </w:tr>
      <w:tr w:rsidR="00735601" w14:paraId="58F0F7EC" w14:textId="77777777">
        <w:trPr>
          <w:trHeight w:val="20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B65E2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 xml:space="preserve">Минтранс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083D7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842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EA8CC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52 877,2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E5DD9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42 207,0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30919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-10 670,2</w:t>
            </w:r>
          </w:p>
        </w:tc>
      </w:tr>
      <w:tr w:rsidR="00735601" w14:paraId="51316FC7" w14:textId="77777777">
        <w:trPr>
          <w:trHeight w:val="20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3EBAE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proofErr w:type="spellStart"/>
            <w:r>
              <w:rPr>
                <w:color w:val="000000" w:themeColor="dark1"/>
                <w:sz w:val="20"/>
              </w:rPr>
              <w:t>Госжилинспекция</w:t>
            </w:r>
            <w:proofErr w:type="spell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54EF9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840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37B5B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20,4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FFDD0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0,0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917C4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-20,4</w:t>
            </w:r>
          </w:p>
        </w:tc>
      </w:tr>
      <w:tr w:rsidR="00735601" w14:paraId="5FBB72C4" w14:textId="77777777">
        <w:trPr>
          <w:trHeight w:val="20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9FA42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Итого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2B56E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х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715C0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х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A49F4" w14:textId="77777777" w:rsidR="00735601" w:rsidRDefault="006D0C58">
            <w:pPr>
              <w:spacing w:line="228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х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4025C" w14:textId="77777777" w:rsidR="00735601" w:rsidRDefault="006D0C58">
            <w:pPr>
              <w:spacing w:line="228" w:lineRule="auto"/>
              <w:jc w:val="center"/>
              <w:rPr>
                <w:b/>
                <w:color w:val="000000" w:themeColor="dark1"/>
                <w:sz w:val="20"/>
              </w:rPr>
            </w:pPr>
            <w:r>
              <w:rPr>
                <w:b/>
                <w:color w:val="000000" w:themeColor="dark1"/>
                <w:sz w:val="20"/>
              </w:rPr>
              <w:t>-10 774,8</w:t>
            </w:r>
          </w:p>
        </w:tc>
      </w:tr>
    </w:tbl>
    <w:p w14:paraId="352E9FE5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Ввиду вышесказанного объем доходов по доходам от продажи материальных и нематериальных активов по итогам 2024 года может составить </w:t>
      </w:r>
      <w:r>
        <w:rPr>
          <w:b/>
          <w:sz w:val="28"/>
        </w:rPr>
        <w:t>1 149 392,0 тыс. рублей</w:t>
      </w:r>
      <w:r>
        <w:rPr>
          <w:sz w:val="28"/>
        </w:rPr>
        <w:t xml:space="preserve">, что на 10 800,0 тыс. рублей больше Оценки бюджета КК. </w:t>
      </w:r>
      <w:r>
        <w:rPr>
          <w:b/>
          <w:sz w:val="28"/>
        </w:rPr>
        <w:t>Предложения</w:t>
      </w:r>
      <w:r>
        <w:rPr>
          <w:sz w:val="28"/>
        </w:rPr>
        <w:t xml:space="preserve"> по корректировке прогнозных значен</w:t>
      </w:r>
      <w:r>
        <w:rPr>
          <w:sz w:val="28"/>
        </w:rPr>
        <w:t xml:space="preserve">ий указанных доходов на 2025–2027 годы </w:t>
      </w:r>
      <w:r>
        <w:rPr>
          <w:b/>
          <w:sz w:val="28"/>
        </w:rPr>
        <w:t>отсутствуют</w:t>
      </w:r>
      <w:r>
        <w:rPr>
          <w:sz w:val="28"/>
        </w:rPr>
        <w:t>.</w:t>
      </w:r>
    </w:p>
    <w:p w14:paraId="58B8F419" w14:textId="77777777" w:rsidR="00735601" w:rsidRDefault="006D0C58">
      <w:pPr>
        <w:ind w:firstLine="709"/>
        <w:jc w:val="both"/>
        <w:rPr>
          <w:sz w:val="28"/>
        </w:rPr>
      </w:pPr>
      <w:r>
        <w:rPr>
          <w:b/>
          <w:i/>
          <w:sz w:val="28"/>
        </w:rPr>
        <w:t>2.13.</w:t>
      </w:r>
      <w:r>
        <w:rPr>
          <w:sz w:val="28"/>
        </w:rPr>
        <w:t xml:space="preserve"> Поступление </w:t>
      </w:r>
      <w:r>
        <w:rPr>
          <w:b/>
          <w:sz w:val="28"/>
        </w:rPr>
        <w:t xml:space="preserve">административных платежей и сборов </w:t>
      </w:r>
      <w:r>
        <w:rPr>
          <w:sz w:val="28"/>
        </w:rPr>
        <w:t xml:space="preserve">прогнозируется: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14F8001F" w14:textId="77777777">
        <w:trPr>
          <w:trHeight w:val="200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9501A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2DA4D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D822F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3E6DAD9E" w14:textId="77777777">
        <w:trPr>
          <w:trHeight w:val="200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95DD6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1938A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5E2D5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BED15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30117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6909E121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4D35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0B6A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749 734,3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158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134 403,5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0315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1 064,0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29BA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1 013,0</w:t>
            </w:r>
          </w:p>
        </w:tc>
      </w:tr>
      <w:tr w:rsidR="00735601" w14:paraId="142C2A62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EA72D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2A5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4050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269D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083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</w:tr>
      <w:tr w:rsidR="00735601" w14:paraId="3D6A4BB0" w14:textId="77777777">
        <w:trPr>
          <w:trHeight w:val="202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A380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764A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-30 128,9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D3DF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-615 330,8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E609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-133 339,5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CDF2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-51,0</w:t>
            </w:r>
          </w:p>
        </w:tc>
      </w:tr>
      <w:tr w:rsidR="00735601" w14:paraId="7A8935F1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7B53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5F79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96,1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75C6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17,9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B67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4749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95,2</w:t>
            </w:r>
          </w:p>
        </w:tc>
      </w:tr>
    </w:tbl>
    <w:p w14:paraId="7CE75921" w14:textId="77777777" w:rsidR="00735601" w:rsidRDefault="006D0C58">
      <w:pPr>
        <w:spacing w:before="60"/>
        <w:ind w:firstLine="709"/>
        <w:jc w:val="both"/>
        <w:rPr>
          <w:sz w:val="28"/>
        </w:rPr>
      </w:pPr>
      <w:r>
        <w:rPr>
          <w:sz w:val="28"/>
        </w:rPr>
        <w:t xml:space="preserve">Указанный источник доходов включает доходы от платежей, взимаемых </w:t>
      </w:r>
      <w:r>
        <w:rPr>
          <w:sz w:val="28"/>
        </w:rPr>
        <w:t>государственными органами</w:t>
      </w:r>
      <w:r>
        <w:rPr>
          <w:i/>
        </w:rPr>
        <w:t xml:space="preserve"> (организациями) </w:t>
      </w:r>
      <w:r>
        <w:rPr>
          <w:sz w:val="28"/>
        </w:rPr>
        <w:t>за выполнение определенных функций, ГАДБ которых являются МПР и Минтранс края</w:t>
      </w:r>
      <w:r>
        <w:rPr>
          <w:sz w:val="28"/>
          <w:vertAlign w:val="superscript"/>
        </w:rPr>
        <w:footnoteReference w:id="37"/>
      </w:r>
      <w:r>
        <w:rPr>
          <w:sz w:val="28"/>
        </w:rPr>
        <w:t xml:space="preserve">, и доходы от уплаты курортного сбора </w:t>
      </w:r>
      <w:r>
        <w:rPr>
          <w:i/>
        </w:rPr>
        <w:t xml:space="preserve">(ГАДБ – </w:t>
      </w:r>
      <w:proofErr w:type="spellStart"/>
      <w:r>
        <w:rPr>
          <w:i/>
        </w:rPr>
        <w:t>Минкурортов</w:t>
      </w:r>
      <w:proofErr w:type="spellEnd"/>
      <w:r>
        <w:rPr>
          <w:sz w:val="28"/>
          <w:vertAlign w:val="superscript"/>
        </w:rPr>
        <w:footnoteReference w:id="38"/>
      </w:r>
      <w:r>
        <w:rPr>
          <w:i/>
        </w:rPr>
        <w:t>)</w:t>
      </w:r>
      <w:r>
        <w:rPr>
          <w:sz w:val="28"/>
        </w:rPr>
        <w:t>.</w:t>
      </w:r>
    </w:p>
    <w:p w14:paraId="52534D7C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Сверкой прогнозов ГАДБ и Минфина КК расхождений не установлено.</w:t>
      </w:r>
    </w:p>
    <w:p w14:paraId="60D069AF" w14:textId="77777777" w:rsidR="00735601" w:rsidRDefault="006D0C58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Снижение </w:t>
      </w:r>
      <w:r>
        <w:rPr>
          <w:sz w:val="28"/>
        </w:rPr>
        <w:t xml:space="preserve">общего объема прогнозных значений обусловлено положениями ч. 1 ст. 2 Федерального закона от 29.07.2017 № 214-ФЗ </w:t>
      </w:r>
      <w:r>
        <w:rPr>
          <w:i/>
        </w:rPr>
        <w:t>(ред. от 28.04.2023)</w:t>
      </w:r>
      <w:r>
        <w:rPr>
          <w:sz w:val="28"/>
        </w:rPr>
        <w:t xml:space="preserve"> «</w:t>
      </w:r>
      <w:r>
        <w:rPr>
          <w:i/>
        </w:rPr>
        <w:t>О проведении эксперимента по развитию курортной инфраструктуры</w:t>
      </w:r>
      <w:r>
        <w:rPr>
          <w:sz w:val="28"/>
        </w:rPr>
        <w:t>», согласно которым эксперимент по развитию курортной инфрас</w:t>
      </w:r>
      <w:r>
        <w:rPr>
          <w:sz w:val="28"/>
        </w:rPr>
        <w:t xml:space="preserve">труктуры проводится по 31.12.2024, в связи с чем поступление доходов на 2026–2027 годы не запланировано, а на 2025 прогнозируется в размере поступлений за 4 квартал 2024 года </w:t>
      </w:r>
      <w:r>
        <w:rPr>
          <w:i/>
        </w:rPr>
        <w:t>(133,4 тыс. рублей)</w:t>
      </w:r>
      <w:r>
        <w:rPr>
          <w:sz w:val="28"/>
        </w:rPr>
        <w:t xml:space="preserve">. </w:t>
      </w:r>
    </w:p>
    <w:p w14:paraId="36733E09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С учетом текущей динамики поступления доходов от уплаты кур</w:t>
      </w:r>
      <w:r>
        <w:rPr>
          <w:sz w:val="28"/>
        </w:rPr>
        <w:t>ортного сбора по расчетам специалистов КСП КК по итогам 2024 года составят</w:t>
      </w:r>
      <w:r>
        <w:rPr>
          <w:b/>
          <w:sz w:val="28"/>
        </w:rPr>
        <w:t xml:space="preserve"> 810 000,0 тыс. рублей</w:t>
      </w:r>
      <w:r>
        <w:rPr>
          <w:sz w:val="28"/>
        </w:rPr>
        <w:t xml:space="preserve">, что превышает Оценку бюджета КК </w:t>
      </w:r>
      <w:r>
        <w:rPr>
          <w:i/>
        </w:rPr>
        <w:t>(748 771,1 тыс. рублей)</w:t>
      </w:r>
      <w:r>
        <w:rPr>
          <w:sz w:val="28"/>
        </w:rPr>
        <w:t xml:space="preserve"> на 61 228,9 тыс. рублей. Таким образом, в 2024 году в целом по доходам от уплаты административных плат</w:t>
      </w:r>
      <w:r>
        <w:rPr>
          <w:sz w:val="28"/>
        </w:rPr>
        <w:t xml:space="preserve">ежей и сборов поступления могут составить 810 963,2 тыс. рублей. </w:t>
      </w:r>
      <w:r>
        <w:rPr>
          <w:b/>
          <w:sz w:val="28"/>
        </w:rPr>
        <w:t xml:space="preserve">Предложения </w:t>
      </w:r>
      <w:r>
        <w:rPr>
          <w:sz w:val="28"/>
        </w:rPr>
        <w:t>по корректировке прогнозных значений доходов на 2025–2027 годы по уплате административных платежей и сборов</w:t>
      </w:r>
      <w:r>
        <w:rPr>
          <w:b/>
          <w:sz w:val="28"/>
        </w:rPr>
        <w:t xml:space="preserve"> отсутствуют.</w:t>
      </w:r>
    </w:p>
    <w:p w14:paraId="7E1FA27A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b/>
          <w:i/>
          <w:sz w:val="28"/>
        </w:rPr>
        <w:t>2.14.</w:t>
      </w:r>
      <w:r>
        <w:rPr>
          <w:b/>
          <w:sz w:val="28"/>
        </w:rPr>
        <w:t xml:space="preserve"> </w:t>
      </w:r>
      <w:r>
        <w:rPr>
          <w:sz w:val="28"/>
        </w:rPr>
        <w:t xml:space="preserve">Прогноз </w:t>
      </w:r>
      <w:r>
        <w:rPr>
          <w:b/>
          <w:sz w:val="28"/>
        </w:rPr>
        <w:t xml:space="preserve">доходов по штрафам, санкциям и </w:t>
      </w:r>
      <w:r>
        <w:rPr>
          <w:b/>
          <w:sz w:val="28"/>
        </w:rPr>
        <w:t>возмещению ущерба</w:t>
      </w:r>
      <w:r>
        <w:rPr>
          <w:sz w:val="28"/>
        </w:rPr>
        <w:t xml:space="preserve"> сформирован в следующих объемах: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5B76A11F" w14:textId="77777777">
        <w:trPr>
          <w:trHeight w:val="214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91FE7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9A4E0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71BEA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65BADB69" w14:textId="77777777">
        <w:trPr>
          <w:trHeight w:hRule="exact" w:val="200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FF62E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42D56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C01FF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597F7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389D1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2CB44942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025BB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467E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3 798 527,0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3C5A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4 857 276,8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1F6A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4 902 435,6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F2DFF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4 905 899,3</w:t>
            </w:r>
          </w:p>
        </w:tc>
      </w:tr>
      <w:tr w:rsidR="00735601" w14:paraId="433886AD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369B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A92A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16,3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9E3C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27,3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4C0C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32,1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490E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35,7</w:t>
            </w:r>
          </w:p>
        </w:tc>
      </w:tr>
      <w:tr w:rsidR="00735601" w14:paraId="78E5B3E5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365A0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 xml:space="preserve">к </w:t>
            </w:r>
            <w:r>
              <w:rPr>
                <w:sz w:val="20"/>
              </w:rPr>
              <w:t>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E8F9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-323 844,3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7F70A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1 058 749,8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D0A4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45 158,8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0493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3 463,7</w:t>
            </w:r>
          </w:p>
        </w:tc>
      </w:tr>
      <w:tr w:rsidR="00735601" w14:paraId="7CFCD710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34E22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91E3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92,1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999E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127,9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1C59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100,9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57B0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100,1</w:t>
            </w:r>
          </w:p>
        </w:tc>
      </w:tr>
    </w:tbl>
    <w:p w14:paraId="0AD36AD7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В структуре прогнозных значений 50,0 % занимают штрафы за нарушение правил дорожного движения, администрируемые </w:t>
      </w:r>
      <w:r>
        <w:rPr>
          <w:sz w:val="28"/>
        </w:rPr>
        <w:t>ГУ МВД РФ по Краснодарскому краю.</w:t>
      </w:r>
      <w:r>
        <w:t xml:space="preserve"> </w:t>
      </w:r>
      <w:r>
        <w:rPr>
          <w:b/>
          <w:sz w:val="28"/>
        </w:rPr>
        <w:t xml:space="preserve">Предложения </w:t>
      </w:r>
      <w:r>
        <w:rPr>
          <w:sz w:val="28"/>
        </w:rPr>
        <w:t>по корректировке прогнозных доходов по штрафам, санкциям и возмещению ущерба на 2025</w:t>
      </w:r>
      <w:r>
        <w:rPr>
          <w:sz w:val="28"/>
        </w:rPr>
        <w:t>–2027 годы</w:t>
      </w:r>
      <w:r>
        <w:rPr>
          <w:b/>
          <w:sz w:val="28"/>
        </w:rPr>
        <w:t xml:space="preserve"> отс</w:t>
      </w:r>
      <w:r>
        <w:rPr>
          <w:b/>
          <w:sz w:val="28"/>
        </w:rPr>
        <w:t>утствуют</w:t>
      </w:r>
      <w:r>
        <w:rPr>
          <w:sz w:val="28"/>
        </w:rPr>
        <w:t>.</w:t>
      </w:r>
    </w:p>
    <w:p w14:paraId="6BB66E7A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Вместе с тем с учетом фактических на 01.10.2024 поступлений указанных доходов по ряду ГАДБ Оценка бюджета КК занижена.</w:t>
      </w:r>
    </w:p>
    <w:p w14:paraId="50B93D40" w14:textId="77777777" w:rsidR="00735601" w:rsidRDefault="006D0C58">
      <w:pPr>
        <w:ind w:firstLine="709"/>
        <w:jc w:val="right"/>
      </w:pPr>
      <w:proofErr w:type="spellStart"/>
      <w:r>
        <w:t>тыс</w:t>
      </w:r>
      <w:proofErr w:type="spellEnd"/>
      <w:r>
        <w:t xml:space="preserve"> рублей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20"/>
        <w:gridCol w:w="1216"/>
        <w:gridCol w:w="2489"/>
        <w:gridCol w:w="1682"/>
        <w:gridCol w:w="2032"/>
      </w:tblGrid>
      <w:tr w:rsidR="00735601" w14:paraId="2D9FD0D1" w14:textId="77777777">
        <w:trPr>
          <w:trHeight w:val="692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F8EB3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Наименование ГАДБ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249AF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Код ГАДБ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1A4B4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Факт на 01.10.2024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8570B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бюджета КК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0300A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Отклонение Оценки от факта на 01.10.2024</w:t>
            </w:r>
          </w:p>
        </w:tc>
      </w:tr>
      <w:tr w:rsidR="00735601" w14:paraId="29EE9433" w14:textId="77777777">
        <w:trPr>
          <w:trHeight w:val="24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AABF4" w14:textId="77777777" w:rsidR="00735601" w:rsidRDefault="006D0C58">
            <w:pPr>
              <w:spacing w:line="216" w:lineRule="auto"/>
              <w:jc w:val="center"/>
            </w:pPr>
            <w:r>
              <w:rPr>
                <w:sz w:val="20"/>
              </w:rPr>
              <w:t>Администрация КК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39B2B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802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466D7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33 560,8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9EBA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19 622,4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1F2D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-13 938,4</w:t>
            </w:r>
          </w:p>
        </w:tc>
      </w:tr>
      <w:tr w:rsidR="00735601" w14:paraId="52347CBC" w14:textId="77777777">
        <w:trPr>
          <w:trHeight w:val="30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83DCC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proofErr w:type="spellStart"/>
            <w:r>
              <w:rPr>
                <w:color w:val="000000" w:themeColor="dark1"/>
                <w:sz w:val="20"/>
              </w:rPr>
              <w:t>Депстрой</w:t>
            </w:r>
            <w:proofErr w:type="spell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789B5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824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AD359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color w:val="000000" w:themeColor="dark1"/>
                <w:sz w:val="20"/>
              </w:rPr>
              <w:t>558,3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ADB11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2 950,0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2FDEE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-608,3</w:t>
            </w:r>
          </w:p>
        </w:tc>
      </w:tr>
      <w:tr w:rsidR="00735601" w14:paraId="7B73E494" w14:textId="77777777">
        <w:trPr>
          <w:trHeight w:val="30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21A01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 xml:space="preserve">Минтранс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6CCE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842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70FE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29 498,8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8D393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29 120,9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98805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-377,9</w:t>
            </w:r>
          </w:p>
        </w:tc>
      </w:tr>
      <w:tr w:rsidR="00735601" w14:paraId="39962476" w14:textId="77777777">
        <w:trPr>
          <w:trHeight w:val="30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0DE2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Итого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2645A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х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0B4F4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х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AA977" w14:textId="77777777" w:rsidR="00735601" w:rsidRDefault="006D0C58">
            <w:pPr>
              <w:spacing w:line="216" w:lineRule="auto"/>
              <w:jc w:val="center"/>
              <w:rPr>
                <w:color w:val="000000" w:themeColor="dark1"/>
                <w:sz w:val="20"/>
              </w:rPr>
            </w:pPr>
            <w:r>
              <w:rPr>
                <w:color w:val="000000" w:themeColor="dark1"/>
                <w:sz w:val="20"/>
              </w:rPr>
              <w:t>х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4163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-14 924,6</w:t>
            </w:r>
          </w:p>
        </w:tc>
      </w:tr>
    </w:tbl>
    <w:p w14:paraId="500197E9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Ввиду вышесказанного объем доходов по штрафам, санкциям, возмещению ущерба по итогам 2024 года может составить </w:t>
      </w:r>
      <w:r>
        <w:rPr>
          <w:b/>
          <w:sz w:val="28"/>
        </w:rPr>
        <w:t>3 813 451,0 тыс. рублей</w:t>
      </w:r>
      <w:r>
        <w:rPr>
          <w:sz w:val="28"/>
        </w:rPr>
        <w:t>, что на 14 924,0 тыс. рублей больше Оценки бюджета КК.</w:t>
      </w:r>
    </w:p>
    <w:p w14:paraId="682DA5B3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b/>
          <w:i/>
          <w:sz w:val="28"/>
        </w:rPr>
        <w:t>2.15.</w:t>
      </w:r>
      <w:r>
        <w:rPr>
          <w:b/>
          <w:sz w:val="28"/>
        </w:rPr>
        <w:t xml:space="preserve"> Плановая д</w:t>
      </w:r>
      <w:r>
        <w:rPr>
          <w:sz w:val="28"/>
        </w:rPr>
        <w:t xml:space="preserve">инамика </w:t>
      </w:r>
      <w:r>
        <w:rPr>
          <w:b/>
          <w:sz w:val="28"/>
        </w:rPr>
        <w:t xml:space="preserve">прочих неналоговых доходов </w:t>
      </w:r>
      <w:r>
        <w:rPr>
          <w:sz w:val="28"/>
        </w:rPr>
        <w:t>приведена в таб</w:t>
      </w:r>
      <w:r>
        <w:rPr>
          <w:sz w:val="28"/>
        </w:rPr>
        <w:t>лице: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23"/>
        <w:gridCol w:w="1687"/>
        <w:gridCol w:w="1536"/>
        <w:gridCol w:w="1581"/>
        <w:gridCol w:w="1612"/>
      </w:tblGrid>
      <w:tr w:rsidR="00735601" w14:paraId="7C643AA1" w14:textId="77777777">
        <w:trPr>
          <w:trHeight w:val="214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ABEFC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Показатели</w:t>
            </w: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DA628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Оценка 2024 года</w:t>
            </w:r>
          </w:p>
        </w:tc>
        <w:tc>
          <w:tcPr>
            <w:tcW w:w="4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C39DA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Прогноз</w:t>
            </w:r>
          </w:p>
        </w:tc>
      </w:tr>
      <w:tr w:rsidR="00735601" w14:paraId="55E866C0" w14:textId="77777777">
        <w:trPr>
          <w:trHeight w:hRule="exact" w:val="200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A3BE9" w14:textId="77777777" w:rsidR="00735601" w:rsidRDefault="00735601"/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91237" w14:textId="77777777" w:rsidR="00735601" w:rsidRDefault="00735601"/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A723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4DDEE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 год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2C2D0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2027 год</w:t>
            </w:r>
          </w:p>
        </w:tc>
      </w:tr>
      <w:tr w:rsidR="00735601" w14:paraId="0DE3367E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AAEA3" w14:textId="77777777" w:rsidR="00735601" w:rsidRDefault="006D0C58">
            <w:pPr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Законопроект,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89B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2 824,0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21DE7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1 294,0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1FA6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1 434,7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F8F24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1 664,5</w:t>
            </w:r>
          </w:p>
        </w:tc>
      </w:tr>
      <w:tr w:rsidR="00735601" w14:paraId="269AA19E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E2E27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доля в неналоговых доходах,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78B8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CE99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8EE10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B0D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</w:tr>
      <w:tr w:rsidR="00735601" w14:paraId="692DCBEA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6FEFF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к предыдущему году, тыс. рублей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32E2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-1 134,9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F56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-1 530,0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90AAD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140,7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B4B8B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229,8</w:t>
            </w:r>
          </w:p>
        </w:tc>
      </w:tr>
      <w:tr w:rsidR="00735601" w14:paraId="0639248B" w14:textId="77777777">
        <w:trPr>
          <w:trHeight w:val="20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4C799" w14:textId="77777777" w:rsidR="00735601" w:rsidRDefault="006D0C58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 xml:space="preserve">к </w:t>
            </w:r>
            <w:r>
              <w:rPr>
                <w:sz w:val="20"/>
              </w:rPr>
              <w:t>предыдущему году, %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E82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71,3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C53D9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45,8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9757C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110,9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D0516" w14:textId="77777777" w:rsidR="00735601" w:rsidRDefault="006D0C58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116,0</w:t>
            </w:r>
          </w:p>
        </w:tc>
      </w:tr>
    </w:tbl>
    <w:p w14:paraId="593B8C3C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Поступление указанных средств в 2025–2027 годах планируется обеспечить за счет доходов, администрируемых Минсельхоз</w:t>
      </w:r>
      <w:r>
        <w:rPr>
          <w:sz w:val="28"/>
          <w:vertAlign w:val="superscript"/>
        </w:rPr>
        <w:footnoteReference w:id="39"/>
      </w:r>
      <w:r>
        <w:rPr>
          <w:sz w:val="28"/>
        </w:rPr>
        <w:t xml:space="preserve"> и ДИО</w:t>
      </w:r>
      <w:r>
        <w:rPr>
          <w:b/>
          <w:i/>
          <w:sz w:val="28"/>
        </w:rPr>
        <w:t xml:space="preserve">, </w:t>
      </w:r>
      <w:r>
        <w:rPr>
          <w:sz w:val="28"/>
        </w:rPr>
        <w:t>расхождения</w:t>
      </w:r>
      <w:r>
        <w:rPr>
          <w:b/>
          <w:i/>
          <w:sz w:val="28"/>
        </w:rPr>
        <w:t xml:space="preserve"> </w:t>
      </w:r>
      <w:r>
        <w:rPr>
          <w:sz w:val="28"/>
        </w:rPr>
        <w:t xml:space="preserve">данных ГАДБ с данными Минфина не установлены. </w:t>
      </w:r>
      <w:r>
        <w:rPr>
          <w:b/>
          <w:sz w:val="28"/>
        </w:rPr>
        <w:t>П</w:t>
      </w:r>
      <w:r>
        <w:rPr>
          <w:b/>
          <w:sz w:val="28"/>
        </w:rPr>
        <w:t xml:space="preserve">редложения </w:t>
      </w:r>
      <w:r>
        <w:rPr>
          <w:sz w:val="28"/>
        </w:rPr>
        <w:t>по корректировке прогнозных доходов на 2025</w:t>
      </w:r>
      <w:r>
        <w:rPr>
          <w:sz w:val="28"/>
        </w:rPr>
        <w:t xml:space="preserve">–2027 годы </w:t>
      </w:r>
      <w:r>
        <w:rPr>
          <w:sz w:val="28"/>
        </w:rPr>
        <w:t>по прочим не</w:t>
      </w:r>
      <w:r>
        <w:rPr>
          <w:b/>
          <w:sz w:val="28"/>
        </w:rPr>
        <w:t>налоговым доходам отсутствуют</w:t>
      </w:r>
      <w:r>
        <w:rPr>
          <w:sz w:val="28"/>
        </w:rPr>
        <w:t>.</w:t>
      </w:r>
    </w:p>
    <w:p w14:paraId="5C7FCC49" w14:textId="77777777" w:rsidR="00735601" w:rsidRDefault="006D0C58">
      <w:pPr>
        <w:widowControl w:val="0"/>
        <w:ind w:firstLine="709"/>
        <w:jc w:val="both"/>
        <w:rPr>
          <w:sz w:val="28"/>
        </w:rPr>
      </w:pPr>
      <w:r>
        <w:rPr>
          <w:b/>
          <w:i/>
          <w:sz w:val="28"/>
        </w:rPr>
        <w:t>2.16.</w:t>
      </w:r>
      <w:r>
        <w:rPr>
          <w:b/>
          <w:sz w:val="28"/>
        </w:rPr>
        <w:t xml:space="preserve"> Прогноз по неналоговым доходам, по мнению специалистов КСП КК, может быть увеличен:</w:t>
      </w:r>
    </w:p>
    <w:p w14:paraId="2DCCFB57" w14:textId="77777777" w:rsidR="00735601" w:rsidRDefault="006D0C58">
      <w:pPr>
        <w:ind w:firstLine="426"/>
        <w:jc w:val="both"/>
        <w:rPr>
          <w:sz w:val="28"/>
        </w:rPr>
      </w:pPr>
      <w:r>
        <w:rPr>
          <w:color w:val="0070C0"/>
          <w:sz w:val="28"/>
        </w:rPr>
        <w:lastRenderedPageBreak/>
        <w:t>►</w:t>
      </w:r>
      <w:r>
        <w:rPr>
          <w:sz w:val="28"/>
        </w:rPr>
        <w:t>в 2025 на 1 861 940,0 тыс. рублей;</w:t>
      </w:r>
    </w:p>
    <w:p w14:paraId="2BD304E2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в 2026 на 1 241 291,0 тыс. рублей.</w:t>
      </w:r>
    </w:p>
    <w:p w14:paraId="596F287E" w14:textId="77777777" w:rsidR="00735601" w:rsidRDefault="006D0C58">
      <w:pPr>
        <w:spacing w:before="60"/>
        <w:ind w:firstLine="709"/>
        <w:jc w:val="right"/>
      </w:pPr>
      <w:r>
        <w:t>тыс. рублей</w:t>
      </w:r>
    </w:p>
    <w:tbl>
      <w:tblPr>
        <w:tblW w:w="0" w:type="auto"/>
        <w:tblInd w:w="108" w:type="dxa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1701"/>
        <w:gridCol w:w="1701"/>
      </w:tblGrid>
      <w:tr w:rsidR="00735601" w14:paraId="3C7E727A" w14:textId="77777777">
        <w:trPr>
          <w:trHeight w:val="630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1542D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6F320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 w:themeFill="accen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9F5FB" w14:textId="77777777" w:rsidR="00735601" w:rsidRDefault="006D0C58">
            <w:pPr>
              <w:spacing w:line="216" w:lineRule="auto"/>
              <w:jc w:val="center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2026</w:t>
            </w:r>
          </w:p>
        </w:tc>
      </w:tr>
      <w:tr w:rsidR="00735601" w14:paraId="0F207472" w14:textId="77777777">
        <w:trPr>
          <w:trHeight w:val="272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A996C" w14:textId="77777777" w:rsidR="00735601" w:rsidRDefault="006D0C58">
            <w:pPr>
              <w:spacing w:line="216" w:lineRule="auto"/>
              <w:jc w:val="both"/>
            </w:pPr>
            <w:r>
              <w:t xml:space="preserve">Доходы от размещения временно свободных </w:t>
            </w:r>
            <w:r>
              <w:t>средств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C9BAC" w14:textId="77777777" w:rsidR="00735601" w:rsidRDefault="006D0C58">
            <w:pPr>
              <w:spacing w:line="216" w:lineRule="auto"/>
              <w:jc w:val="center"/>
            </w:pPr>
            <w:r>
              <w:t>1 861 940,0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D14B7" w14:textId="77777777" w:rsidR="00735601" w:rsidRDefault="006D0C58">
            <w:pPr>
              <w:spacing w:line="216" w:lineRule="auto"/>
              <w:jc w:val="center"/>
            </w:pPr>
            <w:r>
              <w:t>1 241 291,0</w:t>
            </w:r>
          </w:p>
        </w:tc>
      </w:tr>
      <w:tr w:rsidR="00735601" w14:paraId="255971C5" w14:textId="77777777">
        <w:trPr>
          <w:trHeight w:val="236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FE339" w14:textId="77777777" w:rsidR="00735601" w:rsidRDefault="006D0C58">
            <w:pPr>
              <w:spacing w:line="216" w:lineRule="auto"/>
              <w:jc w:val="both"/>
            </w:pPr>
            <w: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CE92F" w14:textId="77777777" w:rsidR="00735601" w:rsidRDefault="006D0C58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1 861 940,0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A8412" w14:textId="77777777" w:rsidR="00735601" w:rsidRDefault="006D0C58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1 241 291,0</w:t>
            </w:r>
          </w:p>
        </w:tc>
      </w:tr>
    </w:tbl>
    <w:p w14:paraId="736E5420" w14:textId="77777777" w:rsidR="00735601" w:rsidRDefault="006D0C58">
      <w:pPr>
        <w:spacing w:before="60"/>
        <w:ind w:firstLine="709"/>
        <w:jc w:val="both"/>
        <w:rPr>
          <w:b/>
          <w:sz w:val="28"/>
        </w:rPr>
      </w:pPr>
      <w:r>
        <w:rPr>
          <w:b/>
          <w:sz w:val="28"/>
        </w:rPr>
        <w:t>3. Всего</w:t>
      </w:r>
      <w:r>
        <w:rPr>
          <w:sz w:val="28"/>
        </w:rPr>
        <w:t xml:space="preserve"> </w:t>
      </w:r>
      <w:r>
        <w:rPr>
          <w:b/>
          <w:sz w:val="28"/>
        </w:rPr>
        <w:t>по итогам анализа доходной части краевого бюджета специалистами КСП КК прогноз налоговых и неналоговых доходов может быть увеличен (резервы):</w:t>
      </w:r>
    </w:p>
    <w:p w14:paraId="6A9E4D5A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 xml:space="preserve">в 2025 году на </w:t>
      </w:r>
      <w:r>
        <w:rPr>
          <w:sz w:val="28"/>
        </w:rPr>
        <w:t>8 169 364,0 тыс. рублей;</w:t>
      </w:r>
    </w:p>
    <w:p w14:paraId="560A6E1B" w14:textId="77777777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в 2026 году на 10 237 720,0 тыс. рублей;</w:t>
      </w:r>
    </w:p>
    <w:p w14:paraId="692ED7AD" w14:textId="7AD54C9C" w:rsidR="00735601" w:rsidRDefault="006D0C58">
      <w:pPr>
        <w:ind w:firstLine="709"/>
        <w:jc w:val="both"/>
        <w:rPr>
          <w:sz w:val="28"/>
        </w:rPr>
      </w:pPr>
      <w:r>
        <w:rPr>
          <w:sz w:val="28"/>
        </w:rPr>
        <w:t>в 2027 году на 8 350 926,0 тыс. рублей.</w:t>
      </w:r>
    </w:p>
    <w:p w14:paraId="63E902A4" w14:textId="77777777" w:rsidR="006D0C58" w:rsidRDefault="006D0C58">
      <w:pPr>
        <w:ind w:firstLine="709"/>
        <w:jc w:val="both"/>
        <w:rPr>
          <w:sz w:val="28"/>
        </w:rPr>
      </w:pPr>
    </w:p>
    <w:p w14:paraId="4514E7D5" w14:textId="77777777" w:rsidR="00735601" w:rsidRDefault="00735601">
      <w:pPr>
        <w:spacing w:before="60" w:line="252" w:lineRule="auto"/>
        <w:ind w:firstLine="709"/>
        <w:jc w:val="right"/>
        <w:rPr>
          <w:sz w:val="28"/>
        </w:rPr>
      </w:pPr>
    </w:p>
    <w:p w14:paraId="4E0EA401" w14:textId="77777777" w:rsidR="00735601" w:rsidRDefault="006D0C58">
      <w:pPr>
        <w:jc w:val="both"/>
        <w:rPr>
          <w:sz w:val="28"/>
        </w:rPr>
      </w:pPr>
      <w:r>
        <w:rPr>
          <w:sz w:val="28"/>
        </w:rPr>
        <w:t xml:space="preserve">Аудитор       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С.В. Проскурина</w:t>
      </w:r>
    </w:p>
    <w:sectPr w:rsidR="00735601">
      <w:headerReference w:type="default" r:id="rId12"/>
      <w:pgSz w:w="11906" w:h="16838"/>
      <w:pgMar w:top="1134" w:right="566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19F19" w14:textId="77777777" w:rsidR="00000000" w:rsidRDefault="006D0C58">
      <w:r>
        <w:separator/>
      </w:r>
    </w:p>
  </w:endnote>
  <w:endnote w:type="continuationSeparator" w:id="0">
    <w:p w14:paraId="128DAF68" w14:textId="77777777" w:rsidR="00000000" w:rsidRDefault="006D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00"/>
    <w:family w:val="roman"/>
    <w:notTrueType/>
    <w:pitch w:val="default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69B19" w14:textId="77777777" w:rsidR="00000000" w:rsidRDefault="006D0C58">
      <w:r>
        <w:separator/>
      </w:r>
    </w:p>
  </w:footnote>
  <w:footnote w:type="continuationSeparator" w:id="0">
    <w:p w14:paraId="1AB35BA5" w14:textId="77777777" w:rsidR="00000000" w:rsidRDefault="006D0C58">
      <w:r>
        <w:continuationSeparator/>
      </w:r>
    </w:p>
  </w:footnote>
  <w:footnote w:id="1">
    <w:p w14:paraId="7E14E6EB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 xml:space="preserve">Письмо УФНС от 16.10.2024 </w:t>
      </w:r>
      <w:r>
        <w:t>№ 11-02/33994@.</w:t>
      </w:r>
    </w:p>
  </w:footnote>
  <w:footnote w:id="2">
    <w:p w14:paraId="02EBB445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proofErr w:type="gramStart"/>
      <w:r>
        <w:t>Согласно актуальному Прогнозу</w:t>
      </w:r>
      <w:proofErr w:type="gramEnd"/>
      <w:r>
        <w:t xml:space="preserve"> СЭР фонд заработной платы составил по итогам 2023 года – 927 604,3 млн</w:t>
      </w:r>
      <w:r>
        <w:t> рублей, ожидаемая оценка на 2024 – 1 113 000,0 млн рублей, прогноз на 2025 – 1 262 000,0 млн рублей, на 2026 – 1 395 000,0 млн рублей, на 2027 - 1 511 000,0 млн рублей. Динамика к предшествующему периоду составляет в 2024 – 120%, в 2025 – 113%, в 2026 – 1</w:t>
      </w:r>
      <w:r>
        <w:t>11%. В расчете, представленном Минфином КК, использованы значения коэффициента, характеризующего фонда заработной платы, на 2024 год – 118%, на 2025 – 110%, на 2026 – 109% (на 2027 год значение соответствует Прогнозу СЭР).</w:t>
      </w:r>
    </w:p>
  </w:footnote>
  <w:footnote w:id="3">
    <w:p w14:paraId="276F67F3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proofErr w:type="gramStart"/>
      <w:r>
        <w:t>Согласно актуальному Прогнозу</w:t>
      </w:r>
      <w:proofErr w:type="gramEnd"/>
      <w:r>
        <w:t xml:space="preserve"> СЭ</w:t>
      </w:r>
      <w:r>
        <w:t>Р прибыль прибыльных предприятий составила по итогам 2023 года – 1 062 419,9 млн рублей, ожидаемая оценка на 2024 – 1 081 000,0 млн рублей, прогноз на 2025 – 1 164 000,0 млн рублей, на 2026 – 1 234 000,0 млн рублей, на 2027 - 1 321 000,0 млн рублей. Динами</w:t>
      </w:r>
      <w:r>
        <w:t xml:space="preserve">ка к предшествующему периоду составляет в 2024 – 101,7%, в 2027 - 107,1%. В расчете, представленном Минфином КК, использованы значения темпов роста прибыли прибыльных предприятий на 2024 год – 101,0%, на 2027 – 107,0% (на 2025-2026 годы значение </w:t>
      </w:r>
      <w:proofErr w:type="spellStart"/>
      <w:r>
        <w:t>соответств</w:t>
      </w:r>
      <w:r>
        <w:t>ет</w:t>
      </w:r>
      <w:proofErr w:type="spellEnd"/>
      <w:r>
        <w:t xml:space="preserve"> актуальному Прогнозу СЭР).</w:t>
      </w:r>
    </w:p>
  </w:footnote>
  <w:footnote w:id="4">
    <w:p w14:paraId="77F3A78C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rPr>
          <w:rStyle w:val="Footnote0"/>
        </w:rPr>
        <w:t>Федеральным законом от 12.07.2024 №</w:t>
      </w:r>
      <w:r>
        <w:t> </w:t>
      </w:r>
      <w:r>
        <w:rPr>
          <w:rStyle w:val="Footnote0"/>
        </w:rPr>
        <w:t>176-ФЗ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</w:t>
      </w:r>
      <w:r>
        <w:rPr>
          <w:rStyle w:val="Footnote0"/>
        </w:rPr>
        <w:t>жений законодательных актов Российской Федерации» внесены изменения в ст. 224 НК РФ и установлены прогрессивные ставки НДФЛ для доходов от 2,4 до 5</w:t>
      </w:r>
      <w:r>
        <w:t> млн рублей (15%), от 5 до 20 млн рублей (18%), от 20 до 50 млн рублей (20%), свыше 50 млн рублей (22%).</w:t>
      </w:r>
    </w:p>
  </w:footnote>
  <w:footnote w:id="5">
    <w:p w14:paraId="596FA7A2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rPr>
          <w:rStyle w:val="Footnote0"/>
        </w:rPr>
        <w:t>Фед</w:t>
      </w:r>
      <w:r>
        <w:rPr>
          <w:rStyle w:val="Footnote0"/>
        </w:rPr>
        <w:t>еральным законом от 13.07.2024 №</w:t>
      </w:r>
      <w:r>
        <w:t> </w:t>
      </w:r>
      <w:r>
        <w:rPr>
          <w:rStyle w:val="Footnote0"/>
        </w:rPr>
        <w:t xml:space="preserve">177-ФЗ «О внесении изменений в Бюджетный кодекс Российской Федерации и отдельные законодательные акты Российской Федерации» внесены изменения в </w:t>
      </w:r>
      <w:proofErr w:type="spellStart"/>
      <w:r>
        <w:rPr>
          <w:rStyle w:val="Footnote0"/>
        </w:rPr>
        <w:t>ст.ст</w:t>
      </w:r>
      <w:proofErr w:type="spellEnd"/>
      <w:r>
        <w:rPr>
          <w:rStyle w:val="Footnote0"/>
        </w:rPr>
        <w:t>.</w:t>
      </w:r>
      <w:r>
        <w:t> </w:t>
      </w:r>
      <w:r>
        <w:rPr>
          <w:rStyle w:val="Footnote0"/>
        </w:rPr>
        <w:t xml:space="preserve">50, 56, 61-61.6 БК РФ, </w:t>
      </w:r>
      <w:proofErr w:type="spellStart"/>
      <w:r>
        <w:rPr>
          <w:rStyle w:val="Footnote0"/>
        </w:rPr>
        <w:t>предусматриавющие</w:t>
      </w:r>
      <w:proofErr w:type="spellEnd"/>
      <w:r>
        <w:rPr>
          <w:rStyle w:val="Footnote0"/>
        </w:rPr>
        <w:t xml:space="preserve"> новые нормативы отчислений НДФЛ</w:t>
      </w:r>
      <w:r>
        <w:rPr>
          <w:rStyle w:val="Footnote0"/>
        </w:rPr>
        <w:t xml:space="preserve"> по уровням бюджетной системы с учетом вводимой прогрессивной шкалы </w:t>
      </w:r>
      <w:proofErr w:type="spellStart"/>
      <w:r>
        <w:rPr>
          <w:rStyle w:val="Footnote0"/>
        </w:rPr>
        <w:t>налогоообложения</w:t>
      </w:r>
      <w:proofErr w:type="spellEnd"/>
      <w:r>
        <w:rPr>
          <w:rStyle w:val="Footnote0"/>
        </w:rPr>
        <w:t>. Также ЗСК 24.10.2024 принят в первом чтении проект закона, предусматривающий внесение изменений в Закон Краснодарского края от 04.02.2002 №</w:t>
      </w:r>
      <w:r>
        <w:t> </w:t>
      </w:r>
      <w:r>
        <w:rPr>
          <w:rStyle w:val="Footnote0"/>
        </w:rPr>
        <w:t>437-КЗ «О бюджетном процессе в</w:t>
      </w:r>
      <w:r>
        <w:rPr>
          <w:rStyle w:val="Footnote0"/>
        </w:rPr>
        <w:t xml:space="preserve"> Краснодарском крае» в части нормативов отчислений НДФЛ в местные бюджеты.</w:t>
      </w:r>
    </w:p>
  </w:footnote>
  <w:footnote w:id="6">
    <w:p w14:paraId="2B7EE2C5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rPr>
          <w:rStyle w:val="Footnote0"/>
        </w:rPr>
        <w:t>В связи с отсутствием в представленных документах и в официальной статистической отчетности сведений об объеме налоговой базы по НДФЛ в части, подлежащей налогообложению по соответ</w:t>
      </w:r>
      <w:r>
        <w:rPr>
          <w:rStyle w:val="Footnote0"/>
        </w:rPr>
        <w:t>ствующим налоговым ставкам с учетом вводимой прогрессивной шкалы, и о ее прогнозных значениях, возможность скорректировать расчет прогнозных доходов НДФЛ у специалистов Палаты отсутствует.</w:t>
      </w:r>
    </w:p>
  </w:footnote>
  <w:footnote w:id="7">
    <w:p w14:paraId="3DCE6F24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На момент подготовки заключения соответствующий проект закона Крас</w:t>
      </w:r>
      <w:r>
        <w:t xml:space="preserve">нодарского края об увеличении коэффициента с 3,5 до 5,5 в Палату не поступил. </w:t>
      </w:r>
    </w:p>
  </w:footnote>
  <w:footnote w:id="8">
    <w:p w14:paraId="338A8E2C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Федеральный закон от 29.10.2024 № 362-ФЗ «О внесении изменений в части первую и вторую Налогового кодекса Российской Федерации и отдельные законодательные акты Российской Федер</w:t>
      </w:r>
      <w:r>
        <w:t>ации».</w:t>
      </w:r>
    </w:p>
  </w:footnote>
  <w:footnote w:id="9">
    <w:p w14:paraId="657CFC82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 xml:space="preserve">Федеральный закон от 29.10.2024 № 367-ФЗ «О внесении изменений в отдельные законодательные акты </w:t>
      </w:r>
      <w:proofErr w:type="spellStart"/>
      <w:r>
        <w:t>Россиской</w:t>
      </w:r>
      <w:proofErr w:type="spellEnd"/>
      <w:r>
        <w:t xml:space="preserve"> Федерации, приостановлении действия отдельных положений законодательных актов Российской Федерации, признании утратившими силу отдельных полож</w:t>
      </w:r>
      <w:r>
        <w:t>ений законодательных актов Российской Федерации и об установлении особенностей исполнения бюджетов бюджетной системы Российской Федерации в 2025 году».</w:t>
      </w:r>
    </w:p>
  </w:footnote>
  <w:footnote w:id="10">
    <w:p w14:paraId="06EFEEDB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Строка 2 расчета: 2023 год – 4 873 600 000, 2024 – 5 446 000 000, 2025 – 5 933 000 000, 2026 – 6 408 50</w:t>
      </w:r>
      <w:r>
        <w:t>0 000, 2027 – 6 916 100 000.</w:t>
      </w:r>
    </w:p>
  </w:footnote>
  <w:footnote w:id="11">
    <w:p w14:paraId="3DAB030D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Строка 11 расчета: 2023 год – 1 070 924 900, 2024 – 1 081 634 200, 2025 – 1 164 920 000, 2026 – 1 234 815 000, 2027 – 1 321 252 000.</w:t>
      </w:r>
    </w:p>
  </w:footnote>
  <w:footnote w:id="12">
    <w:p w14:paraId="64A0EC1A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proofErr w:type="gramStart"/>
      <w:r>
        <w:t>Согласно актуальному Прогнозу</w:t>
      </w:r>
      <w:proofErr w:type="gramEnd"/>
      <w:r>
        <w:t xml:space="preserve"> СЭР ВРП в 2023 – 4 917 500 000, в 2024 – 5 536 900 000, в 2025</w:t>
      </w:r>
      <w:r>
        <w:t xml:space="preserve"> – 6 088 900 000, в 2026 – 6 574 500 000, 2027 – 7 099 900 000; прибыль прибыльных организаций 2023 год – 1 062 419 900, 2024 – 1 081 000 000, 2025 – 1 164 000 000, 2026 – 1 234 000 000, 2027 – 1 321 000 000.</w:t>
      </w:r>
    </w:p>
  </w:footnote>
  <w:footnote w:id="13">
    <w:p w14:paraId="0C8E8E3F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rPr>
          <w:rStyle w:val="Footnote0"/>
        </w:rPr>
        <w:t>В связи с отсутствием в представленных докумен</w:t>
      </w:r>
      <w:r>
        <w:rPr>
          <w:rStyle w:val="Footnote0"/>
        </w:rPr>
        <w:t xml:space="preserve">тах данных о прогнозируемом увеличении налоговой базы и поступлений УСН, обусловленных внесением изменений в законодательство, возможность скорректировать расчет прогнозных доходов УСН у специалистов Палаты отсутствует. </w:t>
      </w:r>
    </w:p>
  </w:footnote>
  <w:footnote w:id="14">
    <w:p w14:paraId="53F3B079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Проект закона поступил в Палату из</w:t>
      </w:r>
      <w:r>
        <w:t xml:space="preserve"> Минфина КК 02.11.2024.</w:t>
      </w:r>
    </w:p>
  </w:footnote>
  <w:footnote w:id="15">
    <w:p w14:paraId="46C5E487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2 639 911/12 мес.=220 000.</w:t>
      </w:r>
    </w:p>
  </w:footnote>
  <w:footnote w:id="16">
    <w:p w14:paraId="30DCEF54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 xml:space="preserve">По данным отчета по форме 0503317 сумма НПД на 01.07.2024 – 1 062 646, на 01.10.2024 – 1 829 898 тыс. рублей, поступления 3 квартала – 767 252 тыс. рублей, или 255 750 тыс. рублей в месяц. </w:t>
      </w:r>
    </w:p>
  </w:footnote>
  <w:footnote w:id="17">
    <w:p w14:paraId="26D62CA7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 xml:space="preserve">Поступления </w:t>
      </w:r>
      <w:r>
        <w:t>за 9 месяцев 2024 (1 829 </w:t>
      </w:r>
      <w:proofErr w:type="gramStart"/>
      <w:r>
        <w:t>898)+</w:t>
      </w:r>
      <w:proofErr w:type="gramEnd"/>
      <w:r>
        <w:t xml:space="preserve">прогнозные поступления на 4 квартал 2024 (255 750*3)= 2 587 148,0 тыс. рублей. </w:t>
      </w:r>
    </w:p>
  </w:footnote>
  <w:footnote w:id="18">
    <w:p w14:paraId="017BD2EC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 xml:space="preserve">255 750*12 мес.=3 069 000. </w:t>
      </w:r>
    </w:p>
  </w:footnote>
  <w:footnote w:id="19">
    <w:p w14:paraId="06574975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rPr>
          <w:rStyle w:val="Footnote0"/>
        </w:rPr>
        <w:t>Федеральный закон от 12.07.2024 N 176-ФЗ «О внесении изменений в части первую и вторую Налогового кодекса Российской</w:t>
      </w:r>
      <w:r>
        <w:rPr>
          <w:rStyle w:val="Footnote0"/>
        </w:rPr>
        <w:t xml:space="preserve">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Федерации».</w:t>
      </w:r>
    </w:p>
  </w:footnote>
  <w:footnote w:id="20">
    <w:p w14:paraId="5DA9B6F0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Единый казначейский счет.</w:t>
      </w:r>
    </w:p>
  </w:footnote>
  <w:footnote w:id="21">
    <w:p w14:paraId="52DC0BAE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 xml:space="preserve">Основные параметры прогноза Банка </w:t>
      </w:r>
      <w:proofErr w:type="spellStart"/>
      <w:r>
        <w:t>Росии</w:t>
      </w:r>
      <w:proofErr w:type="spellEnd"/>
      <w:r>
        <w:t xml:space="preserve"> по итогам заседания Совета директоров 26.07.2024.</w:t>
      </w:r>
    </w:p>
  </w:footnote>
  <w:footnote w:id="22">
    <w:p w14:paraId="5EB901C7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Приказ ДИО от 02.09.2016 № 1567 (в ред. от 01.04.2022 № 797 с изм.).</w:t>
      </w:r>
    </w:p>
  </w:footnote>
  <w:footnote w:id="23">
    <w:p w14:paraId="7A861AE3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rPr>
          <w:spacing w:val="-4"/>
        </w:rPr>
        <w:t>Утв. постановлением Правительства РФ от 23.06.2016 №574 «Об общих требованиях к методике прогнозирования поступлений доходов в бюджеты</w:t>
      </w:r>
      <w:r>
        <w:rPr>
          <w:spacing w:val="-4"/>
        </w:rPr>
        <w:t xml:space="preserve"> бюджетной системы Российской Федерации</w:t>
      </w:r>
      <w:r>
        <w:t>».</w:t>
      </w:r>
    </w:p>
  </w:footnote>
  <w:footnote w:id="24">
    <w:p w14:paraId="05C27061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 xml:space="preserve">Уточненный прогноз поступлений доходов краевого бюджета </w:t>
      </w:r>
      <w:proofErr w:type="spellStart"/>
      <w:r>
        <w:t>бюджета</w:t>
      </w:r>
      <w:proofErr w:type="spellEnd"/>
      <w:r>
        <w:t xml:space="preserve"> представляется в Минфин КК не позднее 27 августа текущего </w:t>
      </w:r>
      <w:proofErr w:type="spellStart"/>
      <w:r>
        <w:t>финансовго</w:t>
      </w:r>
      <w:proofErr w:type="spellEnd"/>
      <w:r>
        <w:t xml:space="preserve"> года (п. 31(2) графика составления проекта краевого бюджета, утвержденного поста</w:t>
      </w:r>
      <w:r>
        <w:t>новлением главы администрации (губернатора) Краснодарского края от 19.04.2012 № 436).</w:t>
      </w:r>
    </w:p>
  </w:footnote>
  <w:footnote w:id="25">
    <w:p w14:paraId="0F5DDABC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</w:t>
      </w:r>
      <w:r>
        <w:t>ключением имущества бюджетных и автономных учреждений субъектов Российской Федерации), доходы от сдачи в аренду имущества, составляющего казну субъекта Российской Федерации (за исключением земельных участков).</w:t>
      </w:r>
    </w:p>
  </w:footnote>
  <w:footnote w:id="26">
    <w:p w14:paraId="1E9D1931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Утв. приказом Управления ЗАГС КК от 31.01.202</w:t>
      </w:r>
      <w:r>
        <w:t>2 № 13-а.</w:t>
      </w:r>
    </w:p>
  </w:footnote>
  <w:footnote w:id="27">
    <w:p w14:paraId="0BDC3DCD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https://economy.krasnodar.ru/activity/makroekonomika/prognoz/prognoz-ser-kk.</w:t>
      </w:r>
    </w:p>
  </w:footnote>
  <w:footnote w:id="28">
    <w:p w14:paraId="1B3BA283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106,5*1,05.</w:t>
      </w:r>
    </w:p>
  </w:footnote>
  <w:footnote w:id="29">
    <w:p w14:paraId="59D6488A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107,0*1,042.</w:t>
      </w:r>
    </w:p>
  </w:footnote>
  <w:footnote w:id="30">
    <w:p w14:paraId="0CA9C4E1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107,0*1,04.</w:t>
      </w:r>
    </w:p>
  </w:footnote>
  <w:footnote w:id="31">
    <w:p w14:paraId="67F2B10B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Здесь и далее – министерство природных ресурсов КК.</w:t>
      </w:r>
    </w:p>
  </w:footnote>
  <w:footnote w:id="32">
    <w:p w14:paraId="647EF3DF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Министерство транспорта и дорожного хозяйства Краснодарского края.</w:t>
      </w:r>
    </w:p>
  </w:footnote>
  <w:footnote w:id="33">
    <w:p w14:paraId="755E9C08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Письмо Южного межрегионального управления Росприроднадзора от 26.10.2023 № ДМ-13-16883.</w:t>
      </w:r>
    </w:p>
  </w:footnote>
  <w:footnote w:id="34">
    <w:p w14:paraId="4994DFEF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Земельный участок, расположенный в Родниковском сельском поселении.</w:t>
      </w:r>
    </w:p>
  </w:footnote>
  <w:footnote w:id="35">
    <w:p w14:paraId="6F5FA592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Таблица 50 приложения 16.</w:t>
      </w:r>
    </w:p>
  </w:footnote>
  <w:footnote w:id="36">
    <w:p w14:paraId="435FB266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Утвержден постановлением Правительства РФ от 02.08.2022 № 1370 «О поряд</w:t>
      </w:r>
      <w:r>
        <w:t>ке разработки и согласования плана мероприятий, указанных в п. 1 ст. 16.6, п. 1 ст. 75.1 и п. 1 ст. 78.2 Федерального закона «Об охране окружающей среды», субъекта Российской Федерации».</w:t>
      </w:r>
    </w:p>
  </w:footnote>
  <w:footnote w:id="37">
    <w:p w14:paraId="494BBD4F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Министерство транспорта и дорожного хозяйства Краснодарского края.</w:t>
      </w:r>
    </w:p>
  </w:footnote>
  <w:footnote w:id="38">
    <w:p w14:paraId="79AA59C3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Министерство курортов, туризма и олимпийского наследия Краснодарского края.</w:t>
      </w:r>
    </w:p>
  </w:footnote>
  <w:footnote w:id="39">
    <w:p w14:paraId="1742746B" w14:textId="77777777" w:rsidR="00735601" w:rsidRDefault="006D0C58">
      <w:pPr>
        <w:pStyle w:val="Footnote"/>
        <w:spacing w:line="216" w:lineRule="auto"/>
        <w:ind w:firstLine="709"/>
        <w:jc w:val="both"/>
      </w:pPr>
      <w:r>
        <w:rPr>
          <w:vertAlign w:val="superscript"/>
        </w:rPr>
        <w:footnoteRef/>
      </w:r>
      <w:r>
        <w:t>Министерство сельского хозяйства и перерабатывающей промышленности Краснодарского края.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BEBA" w14:textId="77777777" w:rsidR="00735601" w:rsidRDefault="006D0C58">
    <w:pPr>
      <w:pStyle w:val="affe"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  <w:p w14:paraId="0C1DE52D" w14:textId="77777777" w:rsidR="00735601" w:rsidRDefault="00735601">
    <w:pPr>
      <w:pStyle w:val="aff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601"/>
    <w:rsid w:val="006D0C58"/>
    <w:rsid w:val="0073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6DE5C"/>
  <w15:docId w15:val="{13FED544-C4BE-4656-82BD-4C17B3EA3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qFormat/>
    <w:pPr>
      <w:widowControl w:val="0"/>
      <w:spacing w:line="480" w:lineRule="auto"/>
      <w:jc w:val="center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Style3">
    <w:name w:val="Style3"/>
    <w:basedOn w:val="a"/>
    <w:link w:val="Style30"/>
    <w:pPr>
      <w:widowControl w:val="0"/>
      <w:spacing w:line="322" w:lineRule="exact"/>
      <w:ind w:firstLine="840"/>
      <w:jc w:val="both"/>
    </w:p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customStyle="1" w:styleId="12">
    <w:name w:val="Основной текст1"/>
    <w:basedOn w:val="13"/>
    <w:link w:val="14"/>
    <w:rPr>
      <w:rFonts w:ascii="Times New Roman" w:hAnsi="Times New Roman"/>
      <w:spacing w:val="3"/>
      <w:sz w:val="25"/>
    </w:rPr>
  </w:style>
  <w:style w:type="character" w:customStyle="1" w:styleId="14">
    <w:name w:val="Основной текст1"/>
    <w:basedOn w:val="a0"/>
    <w:link w:val="12"/>
    <w:rPr>
      <w:rFonts w:ascii="Times New Roman" w:hAnsi="Times New Roman"/>
      <w:b w:val="0"/>
      <w:i w:val="0"/>
      <w:smallCaps w:val="0"/>
      <w:strike w:val="0"/>
      <w:color w:val="000000"/>
      <w:spacing w:val="3"/>
      <w:sz w:val="25"/>
      <w:u w:val="none"/>
    </w:rPr>
  </w:style>
  <w:style w:type="paragraph" w:customStyle="1" w:styleId="21">
    <w:name w:val="Без интервала2"/>
    <w:link w:val="22"/>
    <w:pPr>
      <w:spacing w:after="0" w:line="240" w:lineRule="auto"/>
    </w:pPr>
    <w:rPr>
      <w:rFonts w:ascii="Calibri" w:hAnsi="Calibri"/>
    </w:rPr>
  </w:style>
  <w:style w:type="character" w:customStyle="1" w:styleId="22">
    <w:name w:val="Без интервала2"/>
    <w:link w:val="21"/>
    <w:rPr>
      <w:rFonts w:ascii="Calibri" w:hAnsi="Calibri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customStyle="1" w:styleId="a3">
    <w:name w:val="Документ"/>
    <w:basedOn w:val="a"/>
    <w:link w:val="a4"/>
    <w:pPr>
      <w:spacing w:line="360" w:lineRule="auto"/>
      <w:ind w:firstLine="709"/>
      <w:jc w:val="both"/>
    </w:pPr>
    <w:rPr>
      <w:sz w:val="28"/>
    </w:rPr>
  </w:style>
  <w:style w:type="character" w:customStyle="1" w:styleId="a4">
    <w:name w:val="Документ"/>
    <w:basedOn w:val="1"/>
    <w:link w:val="a3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5">
    <w:name w:val="Цветовое выделение для Текст"/>
    <w:link w:val="a6"/>
    <w:rPr>
      <w:sz w:val="24"/>
    </w:rPr>
  </w:style>
  <w:style w:type="character" w:customStyle="1" w:styleId="a6">
    <w:name w:val="Цветовое выделение для Текст"/>
    <w:link w:val="a5"/>
    <w:rPr>
      <w:sz w:val="24"/>
    </w:rPr>
  </w:style>
  <w:style w:type="paragraph" w:customStyle="1" w:styleId="pt-a0-000007">
    <w:name w:val="pt-a0-000007"/>
    <w:basedOn w:val="13"/>
    <w:link w:val="pt-a0-0000070"/>
  </w:style>
  <w:style w:type="character" w:customStyle="1" w:styleId="pt-a0-0000070">
    <w:name w:val="pt-a0-000007"/>
    <w:basedOn w:val="a0"/>
    <w:link w:val="pt-a0-000007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FootnoteTextChar2">
    <w:name w:val="Footnote Text Char2"/>
    <w:basedOn w:val="13"/>
    <w:link w:val="FootnoteTextChar20"/>
  </w:style>
  <w:style w:type="character" w:customStyle="1" w:styleId="FootnoteTextChar20">
    <w:name w:val="Footnote Text Char2"/>
    <w:basedOn w:val="a0"/>
    <w:link w:val="FootnoteTextChar2"/>
  </w:style>
  <w:style w:type="paragraph" w:customStyle="1" w:styleId="25">
    <w:name w:val="Основной текст (2)_"/>
    <w:basedOn w:val="13"/>
    <w:link w:val="26"/>
    <w:rPr>
      <w:rFonts w:ascii="Times New Roman" w:hAnsi="Times New Roman"/>
      <w:sz w:val="28"/>
      <w:highlight w:val="white"/>
    </w:rPr>
  </w:style>
  <w:style w:type="character" w:customStyle="1" w:styleId="26">
    <w:name w:val="Основной текст (2)_"/>
    <w:basedOn w:val="a0"/>
    <w:link w:val="25"/>
    <w:rPr>
      <w:rFonts w:ascii="Times New Roman" w:hAnsi="Times New Roman"/>
      <w:sz w:val="28"/>
      <w:highlight w:val="white"/>
    </w:rPr>
  </w:style>
  <w:style w:type="paragraph" w:customStyle="1" w:styleId="FontStyle11">
    <w:name w:val="Font Style11"/>
    <w:link w:val="FontStyle110"/>
    <w:rPr>
      <w:rFonts w:ascii="Times New Roman" w:hAnsi="Times New Roman"/>
      <w:b/>
      <w:sz w:val="26"/>
    </w:rPr>
  </w:style>
  <w:style w:type="character" w:customStyle="1" w:styleId="FontStyle110">
    <w:name w:val="Font Style11"/>
    <w:link w:val="FontStyle11"/>
    <w:rPr>
      <w:rFonts w:ascii="Times New Roman" w:hAnsi="Times New Roman"/>
      <w:b/>
      <w:sz w:val="26"/>
    </w:rPr>
  </w:style>
  <w:style w:type="paragraph" w:customStyle="1" w:styleId="a7">
    <w:name w:val="Символ сноски"/>
    <w:basedOn w:val="13"/>
    <w:link w:val="a8"/>
    <w:rPr>
      <w:vertAlign w:val="superscript"/>
    </w:rPr>
  </w:style>
  <w:style w:type="character" w:customStyle="1" w:styleId="a8">
    <w:name w:val="Символ сноски"/>
    <w:basedOn w:val="a0"/>
    <w:link w:val="a7"/>
    <w:rPr>
      <w:vertAlign w:val="superscript"/>
    </w:rPr>
  </w:style>
  <w:style w:type="paragraph" w:customStyle="1" w:styleId="15">
    <w:name w:val="Номер страницы1"/>
    <w:basedOn w:val="13"/>
    <w:link w:val="a9"/>
  </w:style>
  <w:style w:type="character" w:styleId="a9">
    <w:name w:val="page number"/>
    <w:basedOn w:val="a0"/>
    <w:link w:val="15"/>
  </w:style>
  <w:style w:type="paragraph" w:customStyle="1" w:styleId="31">
    <w:name w:val="Абзац списка3"/>
    <w:basedOn w:val="a"/>
    <w:link w:val="32"/>
    <w:pPr>
      <w:ind w:left="720"/>
      <w:contextualSpacing/>
    </w:pPr>
    <w:rPr>
      <w:sz w:val="26"/>
    </w:rPr>
  </w:style>
  <w:style w:type="character" w:customStyle="1" w:styleId="32">
    <w:name w:val="Абзац списка3"/>
    <w:basedOn w:val="1"/>
    <w:link w:val="31"/>
    <w:rPr>
      <w:rFonts w:ascii="Times New Roman" w:hAnsi="Times New Roman"/>
      <w:sz w:val="26"/>
    </w:rPr>
  </w:style>
  <w:style w:type="paragraph" w:customStyle="1" w:styleId="aa">
    <w:name w:val="Заголовок статьи"/>
    <w:basedOn w:val="a"/>
    <w:next w:val="a"/>
    <w:link w:val="ab"/>
    <w:pPr>
      <w:ind w:left="1612" w:hanging="892"/>
      <w:jc w:val="both"/>
    </w:pPr>
    <w:rPr>
      <w:rFonts w:ascii="Arial" w:hAnsi="Arial"/>
    </w:rPr>
  </w:style>
  <w:style w:type="character" w:customStyle="1" w:styleId="ab">
    <w:name w:val="Заголовок статьи"/>
    <w:basedOn w:val="1"/>
    <w:link w:val="aa"/>
    <w:rPr>
      <w:rFonts w:ascii="Arial" w:hAnsi="Arial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6"/>
    </w:rPr>
  </w:style>
  <w:style w:type="paragraph" w:customStyle="1" w:styleId="blk">
    <w:name w:val="blk"/>
    <w:basedOn w:val="13"/>
    <w:link w:val="blk0"/>
  </w:style>
  <w:style w:type="character" w:customStyle="1" w:styleId="blk0">
    <w:name w:val="blk"/>
    <w:basedOn w:val="a0"/>
    <w:link w:val="blk"/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spacing w:after="0" w:line="240" w:lineRule="auto"/>
    </w:pPr>
    <w:rPr>
      <w:rFonts w:ascii="Tahoma" w:hAnsi="Tahoma"/>
      <w:sz w:val="20"/>
    </w:rPr>
  </w:style>
  <w:style w:type="character" w:customStyle="1" w:styleId="ConsPlusNormal0">
    <w:name w:val="ConsPlusNormal"/>
    <w:link w:val="ConsPlusNormal"/>
    <w:rPr>
      <w:rFonts w:ascii="Tahoma" w:hAnsi="Tahoma"/>
      <w:sz w:val="20"/>
    </w:rPr>
  </w:style>
  <w:style w:type="paragraph" w:customStyle="1" w:styleId="ConsPlusDocList">
    <w:name w:val="ConsPlusDocList"/>
    <w:next w:val="a"/>
    <w:link w:val="ConsPlusDocList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DocList0">
    <w:name w:val="ConsPlusDocList"/>
    <w:link w:val="ConsPlusDocList"/>
    <w:rPr>
      <w:rFonts w:ascii="Arial" w:hAnsi="Arial"/>
      <w:sz w:val="20"/>
    </w:rPr>
  </w:style>
  <w:style w:type="paragraph" w:customStyle="1" w:styleId="nobr">
    <w:name w:val="nobr"/>
    <w:basedOn w:val="13"/>
    <w:link w:val="nobr0"/>
  </w:style>
  <w:style w:type="character" w:customStyle="1" w:styleId="nobr0">
    <w:name w:val="nobr"/>
    <w:basedOn w:val="a0"/>
    <w:link w:val="nobr"/>
  </w:style>
  <w:style w:type="paragraph" w:customStyle="1" w:styleId="16">
    <w:name w:val="Обычный1"/>
    <w:link w:val="17"/>
    <w:pPr>
      <w:tabs>
        <w:tab w:val="left" w:pos="709"/>
      </w:tabs>
      <w:spacing w:line="276" w:lineRule="atLeast"/>
      <w:jc w:val="both"/>
    </w:pPr>
    <w:rPr>
      <w:rFonts w:ascii="Calibri" w:hAnsi="Calibri"/>
      <w:color w:val="00000A"/>
    </w:rPr>
  </w:style>
  <w:style w:type="character" w:customStyle="1" w:styleId="17">
    <w:name w:val="Обычный1"/>
    <w:link w:val="16"/>
    <w:rPr>
      <w:rFonts w:ascii="Calibri" w:hAnsi="Calibri"/>
      <w:color w:val="00000A"/>
    </w:rPr>
  </w:style>
  <w:style w:type="paragraph" w:customStyle="1" w:styleId="Standard">
    <w:name w:val="Standard"/>
    <w:link w:val="Standard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andard0">
    <w:name w:val="Standard"/>
    <w:link w:val="Standard"/>
    <w:rPr>
      <w:rFonts w:ascii="Times New Roman" w:hAnsi="Times New Roman"/>
      <w:sz w:val="24"/>
    </w:rPr>
  </w:style>
  <w:style w:type="paragraph" w:customStyle="1" w:styleId="ac">
    <w:name w:val="Акты"/>
    <w:basedOn w:val="a"/>
    <w:link w:val="ad"/>
    <w:pPr>
      <w:ind w:firstLine="709"/>
      <w:jc w:val="both"/>
    </w:pPr>
    <w:rPr>
      <w:rFonts w:asciiTheme="minorHAnsi" w:hAnsiTheme="minorHAnsi"/>
      <w:sz w:val="28"/>
    </w:rPr>
  </w:style>
  <w:style w:type="character" w:customStyle="1" w:styleId="ad">
    <w:name w:val="Акты"/>
    <w:basedOn w:val="1"/>
    <w:link w:val="ac"/>
    <w:rPr>
      <w:rFonts w:asciiTheme="minorHAnsi" w:hAnsiTheme="minorHAnsi"/>
      <w:sz w:val="28"/>
    </w:rPr>
  </w:style>
  <w:style w:type="paragraph" w:customStyle="1" w:styleId="33">
    <w:name w:val="Без интервала3"/>
    <w:link w:val="34"/>
    <w:pPr>
      <w:spacing w:after="0" w:line="240" w:lineRule="auto"/>
    </w:pPr>
    <w:rPr>
      <w:rFonts w:ascii="Calibri" w:hAnsi="Calibri"/>
    </w:rPr>
  </w:style>
  <w:style w:type="character" w:customStyle="1" w:styleId="34">
    <w:name w:val="Без интервала3"/>
    <w:link w:val="33"/>
    <w:rPr>
      <w:rFonts w:ascii="Calibri" w:hAnsi="Calibri"/>
    </w:rPr>
  </w:style>
  <w:style w:type="paragraph" w:customStyle="1" w:styleId="ae">
    <w:name w:val="Знак Знак Знак Знак Знак Знак Знак"/>
    <w:basedOn w:val="a"/>
    <w:link w:val="af"/>
    <w:pPr>
      <w:spacing w:after="160" w:line="240" w:lineRule="exact"/>
    </w:pPr>
    <w:rPr>
      <w:sz w:val="20"/>
    </w:rPr>
  </w:style>
  <w:style w:type="character" w:customStyle="1" w:styleId="af">
    <w:name w:val="Знак Знак Знак Знак Знак Знак Знак"/>
    <w:basedOn w:val="1"/>
    <w:link w:val="ae"/>
    <w:rPr>
      <w:rFonts w:ascii="Times New Roman" w:hAnsi="Times New Roman"/>
      <w:sz w:val="20"/>
    </w:rPr>
  </w:style>
  <w:style w:type="paragraph" w:customStyle="1" w:styleId="18">
    <w:name w:val="Строгий1"/>
    <w:basedOn w:val="13"/>
    <w:link w:val="af0"/>
    <w:rPr>
      <w:b/>
    </w:rPr>
  </w:style>
  <w:style w:type="character" w:styleId="af0">
    <w:name w:val="Strong"/>
    <w:basedOn w:val="a0"/>
    <w:link w:val="18"/>
    <w:rPr>
      <w:b/>
    </w:rPr>
  </w:style>
  <w:style w:type="paragraph" w:customStyle="1" w:styleId="highlightsearch">
    <w:name w:val="highlightsearch"/>
    <w:basedOn w:val="13"/>
    <w:link w:val="highlightsearch0"/>
  </w:style>
  <w:style w:type="character" w:customStyle="1" w:styleId="highlightsearch0">
    <w:name w:val="highlightsearch"/>
    <w:basedOn w:val="a0"/>
    <w:link w:val="highlightsearch"/>
  </w:style>
  <w:style w:type="paragraph" w:customStyle="1" w:styleId="s100">
    <w:name w:val="s_10"/>
    <w:basedOn w:val="13"/>
    <w:link w:val="s101"/>
  </w:style>
  <w:style w:type="character" w:customStyle="1" w:styleId="s101">
    <w:name w:val="s_10"/>
    <w:basedOn w:val="a0"/>
    <w:link w:val="s100"/>
  </w:style>
  <w:style w:type="paragraph" w:styleId="af1">
    <w:name w:val="Document Map"/>
    <w:basedOn w:val="a"/>
    <w:link w:val="af2"/>
    <w:rPr>
      <w:rFonts w:ascii="Tahoma" w:hAnsi="Tahoma"/>
      <w:sz w:val="16"/>
    </w:rPr>
  </w:style>
  <w:style w:type="character" w:customStyle="1" w:styleId="af2">
    <w:name w:val="Схема документа Знак"/>
    <w:basedOn w:val="1"/>
    <w:link w:val="af1"/>
    <w:rPr>
      <w:rFonts w:ascii="Tahoma" w:hAnsi="Tahoma"/>
      <w:sz w:val="16"/>
    </w:rPr>
  </w:style>
  <w:style w:type="paragraph" w:customStyle="1" w:styleId="doctext">
    <w:name w:val="doc__text"/>
    <w:basedOn w:val="a"/>
    <w:link w:val="doctext0"/>
    <w:pPr>
      <w:spacing w:beforeAutospacing="1" w:afterAutospacing="1"/>
    </w:pPr>
  </w:style>
  <w:style w:type="character" w:customStyle="1" w:styleId="doctext0">
    <w:name w:val="doc__text"/>
    <w:basedOn w:val="1"/>
    <w:link w:val="doctext"/>
    <w:rPr>
      <w:rFonts w:ascii="Times New Roman" w:hAnsi="Times New Roman"/>
      <w:sz w:val="24"/>
    </w:rPr>
  </w:style>
  <w:style w:type="paragraph" w:customStyle="1" w:styleId="210">
    <w:name w:val="Основной текст с отступом 21"/>
    <w:basedOn w:val="a"/>
    <w:link w:val="211"/>
    <w:pPr>
      <w:widowControl w:val="0"/>
      <w:tabs>
        <w:tab w:val="left" w:pos="1425"/>
      </w:tabs>
      <w:spacing w:line="100" w:lineRule="atLeast"/>
      <w:ind w:firstLine="1368"/>
      <w:jc w:val="both"/>
    </w:pPr>
    <w:rPr>
      <w:sz w:val="28"/>
    </w:rPr>
  </w:style>
  <w:style w:type="character" w:customStyle="1" w:styleId="211">
    <w:name w:val="Основной текст с отступом 21"/>
    <w:basedOn w:val="1"/>
    <w:link w:val="210"/>
    <w:rPr>
      <w:rFonts w:ascii="Times New Roman" w:hAnsi="Times New Roman"/>
      <w:sz w:val="28"/>
    </w:rPr>
  </w:style>
  <w:style w:type="paragraph" w:customStyle="1" w:styleId="27">
    <w:name w:val="Абзац списка2"/>
    <w:basedOn w:val="a"/>
    <w:link w:val="28"/>
    <w:pPr>
      <w:ind w:left="720"/>
      <w:contextualSpacing/>
    </w:pPr>
    <w:rPr>
      <w:sz w:val="26"/>
    </w:rPr>
  </w:style>
  <w:style w:type="character" w:customStyle="1" w:styleId="28">
    <w:name w:val="Абзац списка2"/>
    <w:basedOn w:val="1"/>
    <w:link w:val="27"/>
    <w:rPr>
      <w:rFonts w:ascii="Times New Roman" w:hAnsi="Times New Roman"/>
      <w:sz w:val="26"/>
    </w:rPr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styleId="af3">
    <w:name w:val="Balloon Text"/>
    <w:basedOn w:val="a"/>
    <w:link w:val="af4"/>
    <w:rPr>
      <w:rFonts w:ascii="Tahoma" w:hAnsi="Tahoma"/>
      <w:sz w:val="16"/>
    </w:rPr>
  </w:style>
  <w:style w:type="character" w:customStyle="1" w:styleId="af4">
    <w:name w:val="Текст выноски Знак"/>
    <w:basedOn w:val="1"/>
    <w:link w:val="af3"/>
    <w:rPr>
      <w:rFonts w:ascii="Tahoma" w:hAnsi="Tahoma"/>
      <w:sz w:val="16"/>
    </w:rPr>
  </w:style>
  <w:style w:type="paragraph" w:customStyle="1" w:styleId="af5">
    <w:name w:val="Комментарий"/>
    <w:basedOn w:val="a"/>
    <w:next w:val="a"/>
    <w:link w:val="af6"/>
    <w:pPr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character" w:customStyle="1" w:styleId="af6">
    <w:name w:val="Комментарий"/>
    <w:basedOn w:val="1"/>
    <w:link w:val="af5"/>
    <w:rPr>
      <w:rFonts w:ascii="Arial" w:hAnsi="Arial"/>
      <w:color w:val="353842"/>
      <w:sz w:val="24"/>
      <w:shd w:val="clear" w:color="auto" w:fill="F0F0F0"/>
    </w:rPr>
  </w:style>
  <w:style w:type="paragraph" w:customStyle="1" w:styleId="pt-2">
    <w:name w:val="pt-2"/>
    <w:basedOn w:val="a"/>
    <w:link w:val="pt-20"/>
    <w:pPr>
      <w:spacing w:beforeAutospacing="1" w:afterAutospacing="1"/>
    </w:pPr>
  </w:style>
  <w:style w:type="character" w:customStyle="1" w:styleId="pt-20">
    <w:name w:val="pt-2"/>
    <w:basedOn w:val="1"/>
    <w:link w:val="pt-2"/>
    <w:rPr>
      <w:rFonts w:ascii="Times New Roman" w:hAnsi="Times New Roman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7">
    <w:name w:val="No Spacing"/>
    <w:link w:val="af8"/>
    <w:pPr>
      <w:spacing w:after="0" w:line="240" w:lineRule="auto"/>
    </w:pPr>
    <w:rPr>
      <w:rFonts w:ascii="Calibri" w:hAnsi="Calibri"/>
    </w:rPr>
  </w:style>
  <w:style w:type="character" w:customStyle="1" w:styleId="af8">
    <w:name w:val="Без интервала Знак"/>
    <w:link w:val="af7"/>
    <w:rPr>
      <w:rFonts w:ascii="Calibri" w:hAnsi="Calibri"/>
    </w:rPr>
  </w:style>
  <w:style w:type="paragraph" w:styleId="af9">
    <w:name w:val="Normal (Web)"/>
    <w:basedOn w:val="a"/>
    <w:link w:val="afa"/>
    <w:pPr>
      <w:spacing w:beforeAutospacing="1" w:afterAutospacing="1"/>
    </w:pPr>
    <w:rPr>
      <w:rFonts w:ascii="Arial" w:hAnsi="Arial"/>
      <w:color w:val="660000"/>
      <w:sz w:val="20"/>
    </w:rPr>
  </w:style>
  <w:style w:type="character" w:customStyle="1" w:styleId="afa">
    <w:name w:val="Обычный (Интернет) Знак"/>
    <w:basedOn w:val="1"/>
    <w:link w:val="af9"/>
    <w:rPr>
      <w:rFonts w:ascii="Arial" w:hAnsi="Arial"/>
      <w:color w:val="660000"/>
      <w:sz w:val="20"/>
    </w:rPr>
  </w:style>
  <w:style w:type="paragraph" w:customStyle="1" w:styleId="Style1">
    <w:name w:val="Style1"/>
    <w:basedOn w:val="a"/>
    <w:link w:val="Style10"/>
    <w:pPr>
      <w:widowControl w:val="0"/>
      <w:spacing w:line="310" w:lineRule="exact"/>
      <w:jc w:val="center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29">
    <w:name w:val="Основной текст (2)"/>
    <w:link w:val="2a"/>
    <w:rPr>
      <w:rFonts w:ascii="Times New Roman" w:hAnsi="Times New Roman"/>
    </w:rPr>
  </w:style>
  <w:style w:type="character" w:customStyle="1" w:styleId="2a">
    <w:name w:val="Основной текст (2)"/>
    <w:link w:val="29"/>
    <w:rPr>
      <w:rFonts w:ascii="Times New Roman" w:hAnsi="Times New Roman"/>
      <w:color w:val="000000"/>
      <w:spacing w:val="0"/>
      <w:sz w:val="22"/>
      <w:u w:val="none"/>
    </w:rPr>
  </w:style>
  <w:style w:type="paragraph" w:styleId="afb">
    <w:name w:val="Body Text"/>
    <w:basedOn w:val="a"/>
    <w:link w:val="afc"/>
    <w:pPr>
      <w:spacing w:after="120"/>
    </w:pPr>
    <w:rPr>
      <w:sz w:val="26"/>
    </w:rPr>
  </w:style>
  <w:style w:type="character" w:customStyle="1" w:styleId="afc">
    <w:name w:val="Основной текст Знак"/>
    <w:basedOn w:val="1"/>
    <w:link w:val="afb"/>
    <w:rPr>
      <w:rFonts w:ascii="Times New Roman" w:hAnsi="Times New Roman"/>
      <w:sz w:val="26"/>
    </w:rPr>
  </w:style>
  <w:style w:type="paragraph" w:customStyle="1" w:styleId="19">
    <w:name w:val="Просмотренная гиперссылка1"/>
    <w:basedOn w:val="13"/>
    <w:link w:val="afd"/>
    <w:rPr>
      <w:color w:val="800080"/>
      <w:u w:val="single"/>
    </w:rPr>
  </w:style>
  <w:style w:type="character" w:styleId="afd">
    <w:name w:val="FollowedHyperlink"/>
    <w:basedOn w:val="a0"/>
    <w:link w:val="19"/>
    <w:rPr>
      <w:color w:val="800080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searchtext">
    <w:name w:val="searchtext"/>
    <w:basedOn w:val="13"/>
    <w:link w:val="searchtext0"/>
  </w:style>
  <w:style w:type="character" w:customStyle="1" w:styleId="searchtext0">
    <w:name w:val="searchtext"/>
    <w:basedOn w:val="a0"/>
    <w:link w:val="searchtext"/>
  </w:style>
  <w:style w:type="paragraph" w:customStyle="1" w:styleId="tdetailed">
    <w:name w:val="t_detailed"/>
    <w:basedOn w:val="13"/>
    <w:link w:val="tdetailed0"/>
  </w:style>
  <w:style w:type="character" w:customStyle="1" w:styleId="tdetailed0">
    <w:name w:val="t_detailed"/>
    <w:basedOn w:val="a0"/>
    <w:link w:val="tdetailed"/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8">
    <w:name w:val="Знак Знак8"/>
    <w:basedOn w:val="13"/>
    <w:link w:val="80"/>
    <w:rPr>
      <w:rFonts w:ascii="Arial" w:hAnsi="Arial"/>
      <w:color w:val="660000"/>
    </w:rPr>
  </w:style>
  <w:style w:type="character" w:customStyle="1" w:styleId="80">
    <w:name w:val="Знак Знак8"/>
    <w:basedOn w:val="a0"/>
    <w:link w:val="8"/>
    <w:rPr>
      <w:rFonts w:ascii="Arial" w:hAnsi="Arial"/>
      <w:color w:val="660000"/>
    </w:rPr>
  </w:style>
  <w:style w:type="paragraph" w:customStyle="1" w:styleId="ListLabel1">
    <w:name w:val="ListLabel 1"/>
    <w:link w:val="ListLabel10"/>
    <w:rPr>
      <w:rFonts w:ascii="Times New Roman" w:hAnsi="Times New Roman"/>
      <w:sz w:val="28"/>
    </w:rPr>
  </w:style>
  <w:style w:type="character" w:customStyle="1" w:styleId="ListLabel10">
    <w:name w:val="ListLabel 1"/>
    <w:link w:val="ListLabel1"/>
    <w:rPr>
      <w:rFonts w:ascii="Times New Roman" w:hAnsi="Times New Roman"/>
      <w:i w:val="0"/>
      <w:color w:val="000000"/>
      <w:sz w:val="28"/>
      <w:u w:val="none"/>
    </w:rPr>
  </w:style>
  <w:style w:type="paragraph" w:customStyle="1" w:styleId="afe">
    <w:name w:val="Гипертекстовая ссылка"/>
    <w:basedOn w:val="13"/>
    <w:link w:val="aff"/>
    <w:rPr>
      <w:color w:val="106BBE"/>
    </w:rPr>
  </w:style>
  <w:style w:type="character" w:customStyle="1" w:styleId="aff">
    <w:name w:val="Гипертекстовая ссылка"/>
    <w:basedOn w:val="a0"/>
    <w:link w:val="afe"/>
    <w:rPr>
      <w:color w:val="106BBE"/>
    </w:rPr>
  </w:style>
  <w:style w:type="paragraph" w:customStyle="1" w:styleId="aff0">
    <w:name w:val="Цветовое выделение"/>
    <w:link w:val="aff1"/>
    <w:rPr>
      <w:b/>
      <w:color w:val="26282F"/>
    </w:rPr>
  </w:style>
  <w:style w:type="character" w:customStyle="1" w:styleId="aff1">
    <w:name w:val="Цветовое выделение"/>
    <w:link w:val="aff0"/>
    <w:rPr>
      <w:b/>
      <w:color w:val="26282F"/>
    </w:rPr>
  </w:style>
  <w:style w:type="paragraph" w:styleId="aff2">
    <w:name w:val="footer"/>
    <w:basedOn w:val="a"/>
    <w:link w:val="aff3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1"/>
    <w:link w:val="aff2"/>
    <w:rPr>
      <w:rFonts w:ascii="Times New Roman" w:hAnsi="Times New Roman"/>
      <w:sz w:val="24"/>
    </w:rPr>
  </w:style>
  <w:style w:type="paragraph" w:customStyle="1" w:styleId="2b">
    <w:name w:val="сновной текст с отступом 2"/>
    <w:basedOn w:val="a"/>
    <w:link w:val="2c"/>
    <w:pPr>
      <w:widowControl w:val="0"/>
      <w:ind w:firstLine="720"/>
      <w:jc w:val="both"/>
    </w:pPr>
    <w:rPr>
      <w:sz w:val="26"/>
    </w:rPr>
  </w:style>
  <w:style w:type="character" w:customStyle="1" w:styleId="2c">
    <w:name w:val="сновной текст с отступом 2"/>
    <w:basedOn w:val="1"/>
    <w:link w:val="2b"/>
    <w:rPr>
      <w:rFonts w:ascii="Times New Roman" w:hAnsi="Times New Roman"/>
      <w:sz w:val="26"/>
    </w:rPr>
  </w:style>
  <w:style w:type="paragraph" w:customStyle="1" w:styleId="1a">
    <w:name w:val="Гиперссылка1"/>
    <w:link w:val="aff4"/>
    <w:rPr>
      <w:color w:val="0000FF"/>
      <w:u w:val="single"/>
    </w:rPr>
  </w:style>
  <w:style w:type="character" w:styleId="aff4">
    <w:name w:val="Hyperlink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FontStyle12">
    <w:name w:val="Font Style12"/>
    <w:link w:val="FontStyle120"/>
    <w:rPr>
      <w:rFonts w:ascii="Times New Roman" w:hAnsi="Times New Roman"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sz w:val="26"/>
    </w:rPr>
  </w:style>
  <w:style w:type="paragraph" w:styleId="1b">
    <w:name w:val="toc 1"/>
    <w:next w:val="a"/>
    <w:link w:val="1c"/>
    <w:uiPriority w:val="39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msonormal1">
    <w:name w:val="msonormal1"/>
    <w:basedOn w:val="a"/>
    <w:link w:val="msonormal10"/>
  </w:style>
  <w:style w:type="character" w:customStyle="1" w:styleId="msonormal10">
    <w:name w:val="msonormal1"/>
    <w:basedOn w:val="1"/>
    <w:link w:val="msonormal1"/>
    <w:rPr>
      <w:rFonts w:ascii="Times New Roman" w:hAnsi="Times New Roman"/>
      <w:sz w:val="24"/>
    </w:rPr>
  </w:style>
  <w:style w:type="paragraph" w:styleId="aff5">
    <w:name w:val="Body Text Indent"/>
    <w:basedOn w:val="a"/>
    <w:link w:val="aff6"/>
    <w:pPr>
      <w:spacing w:after="120"/>
      <w:ind w:left="283"/>
    </w:pPr>
  </w:style>
  <w:style w:type="character" w:customStyle="1" w:styleId="aff6">
    <w:name w:val="Основной текст с отступом Знак"/>
    <w:basedOn w:val="1"/>
    <w:link w:val="aff5"/>
    <w:rPr>
      <w:rFonts w:ascii="Times New Roman" w:hAnsi="Times New Roman"/>
      <w:sz w:val="24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1d">
    <w:name w:val="Без интервала1"/>
    <w:link w:val="1e"/>
    <w:pPr>
      <w:spacing w:after="0" w:line="240" w:lineRule="auto"/>
    </w:pPr>
    <w:rPr>
      <w:rFonts w:ascii="Calibri" w:hAnsi="Calibri"/>
    </w:rPr>
  </w:style>
  <w:style w:type="character" w:customStyle="1" w:styleId="1e">
    <w:name w:val="Без интервала1"/>
    <w:link w:val="1d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37">
    <w:name w:val="Body Text Indent 3"/>
    <w:basedOn w:val="a"/>
    <w:link w:val="38"/>
    <w:pPr>
      <w:spacing w:after="120"/>
      <w:ind w:left="283"/>
    </w:pPr>
    <w:rPr>
      <w:sz w:val="16"/>
    </w:rPr>
  </w:style>
  <w:style w:type="character" w:customStyle="1" w:styleId="38">
    <w:name w:val="Основной текст с отступом 3 Знак"/>
    <w:basedOn w:val="1"/>
    <w:link w:val="37"/>
    <w:rPr>
      <w:rFonts w:ascii="Times New Roman" w:hAnsi="Times New Roman"/>
      <w:sz w:val="16"/>
    </w:rPr>
  </w:style>
  <w:style w:type="paragraph" w:customStyle="1" w:styleId="1f">
    <w:name w:val="Абзац списка1"/>
    <w:basedOn w:val="a"/>
    <w:link w:val="1f0"/>
    <w:pPr>
      <w:ind w:left="720"/>
      <w:contextualSpacing/>
    </w:pPr>
    <w:rPr>
      <w:sz w:val="26"/>
    </w:rPr>
  </w:style>
  <w:style w:type="character" w:customStyle="1" w:styleId="1f0">
    <w:name w:val="Абзац списка1"/>
    <w:basedOn w:val="1"/>
    <w:link w:val="1f"/>
    <w:rPr>
      <w:rFonts w:ascii="Times New Roman" w:hAnsi="Times New Roman"/>
      <w:sz w:val="26"/>
    </w:rPr>
  </w:style>
  <w:style w:type="paragraph" w:customStyle="1" w:styleId="aff7">
    <w:name w:val="Прижатый влево"/>
    <w:basedOn w:val="a"/>
    <w:next w:val="a"/>
    <w:link w:val="aff8"/>
    <w:rPr>
      <w:rFonts w:ascii="Arial" w:hAnsi="Arial"/>
    </w:rPr>
  </w:style>
  <w:style w:type="character" w:customStyle="1" w:styleId="aff8">
    <w:name w:val="Прижатый влево"/>
    <w:basedOn w:val="1"/>
    <w:link w:val="aff7"/>
    <w:rPr>
      <w:rFonts w:ascii="Arial" w:hAnsi="Arial"/>
      <w:sz w:val="24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apple-style-span">
    <w:name w:val="apple-style-span"/>
    <w:basedOn w:val="13"/>
    <w:link w:val="apple-style-span0"/>
  </w:style>
  <w:style w:type="character" w:customStyle="1" w:styleId="apple-style-span0">
    <w:name w:val="apple-style-span"/>
    <w:basedOn w:val="a0"/>
    <w:link w:val="apple-style-span"/>
  </w:style>
  <w:style w:type="paragraph" w:customStyle="1" w:styleId="1f1">
    <w:name w:val="Знак сноски1"/>
    <w:basedOn w:val="13"/>
    <w:link w:val="aff9"/>
    <w:rPr>
      <w:vertAlign w:val="superscript"/>
    </w:rPr>
  </w:style>
  <w:style w:type="character" w:styleId="aff9">
    <w:name w:val="footnote reference"/>
    <w:basedOn w:val="a0"/>
    <w:link w:val="1f1"/>
    <w:rPr>
      <w:vertAlign w:val="superscript"/>
    </w:rPr>
  </w:style>
  <w:style w:type="paragraph" w:customStyle="1" w:styleId="affa">
    <w:name w:val="Содержимое таблицы"/>
    <w:basedOn w:val="a"/>
    <w:link w:val="affb"/>
  </w:style>
  <w:style w:type="character" w:customStyle="1" w:styleId="affb">
    <w:name w:val="Содержимое таблицы"/>
    <w:basedOn w:val="1"/>
    <w:link w:val="affa"/>
    <w:rPr>
      <w:rFonts w:ascii="Times New Roman" w:hAnsi="Times New Roman"/>
      <w:sz w:val="24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13">
    <w:name w:val="Основной шрифт абзаца1"/>
    <w:link w:val="FootnoteTextChar"/>
  </w:style>
  <w:style w:type="paragraph" w:customStyle="1" w:styleId="FootnoteTextChar">
    <w:name w:val="Footnote Text Char"/>
    <w:basedOn w:val="13"/>
    <w:link w:val="FootnoteTextChar0"/>
    <w:rPr>
      <w:rFonts w:ascii="Calibri" w:hAnsi="Calibri"/>
    </w:rPr>
  </w:style>
  <w:style w:type="character" w:customStyle="1" w:styleId="FootnoteTextChar0">
    <w:name w:val="Footnote Text Char"/>
    <w:basedOn w:val="a0"/>
    <w:link w:val="FootnoteTextChar"/>
    <w:rPr>
      <w:rFonts w:ascii="Calibri" w:hAnsi="Calibri"/>
    </w:rPr>
  </w:style>
  <w:style w:type="paragraph" w:customStyle="1" w:styleId="43">
    <w:name w:val="Абзац списка4"/>
    <w:basedOn w:val="a"/>
    <w:link w:val="44"/>
    <w:pPr>
      <w:ind w:left="720"/>
      <w:contextualSpacing/>
    </w:pPr>
    <w:rPr>
      <w:sz w:val="26"/>
    </w:rPr>
  </w:style>
  <w:style w:type="character" w:customStyle="1" w:styleId="44">
    <w:name w:val="Абзац списка4"/>
    <w:basedOn w:val="1"/>
    <w:link w:val="43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fc">
    <w:name w:val="Знак Знак Знак"/>
    <w:basedOn w:val="a"/>
    <w:link w:val="affd"/>
    <w:pPr>
      <w:spacing w:after="160" w:line="240" w:lineRule="exact"/>
    </w:pPr>
    <w:rPr>
      <w:rFonts w:ascii="Verdana" w:hAnsi="Verdana"/>
      <w:sz w:val="20"/>
    </w:rPr>
  </w:style>
  <w:style w:type="character" w:customStyle="1" w:styleId="affd">
    <w:name w:val="Знак Знак Знак"/>
    <w:basedOn w:val="1"/>
    <w:link w:val="affc"/>
    <w:rPr>
      <w:rFonts w:ascii="Verdana" w:hAnsi="Verdana"/>
      <w:sz w:val="20"/>
    </w:rPr>
  </w:style>
  <w:style w:type="paragraph" w:styleId="affe">
    <w:name w:val="header"/>
    <w:basedOn w:val="a"/>
    <w:link w:val="afff"/>
    <w:pPr>
      <w:tabs>
        <w:tab w:val="center" w:pos="4677"/>
        <w:tab w:val="right" w:pos="9355"/>
      </w:tabs>
    </w:pPr>
  </w:style>
  <w:style w:type="character" w:customStyle="1" w:styleId="afff">
    <w:name w:val="Верхний колонтитул Знак"/>
    <w:basedOn w:val="1"/>
    <w:link w:val="affe"/>
    <w:rPr>
      <w:rFonts w:ascii="Times New Roman" w:hAnsi="Times New Roman"/>
      <w:sz w:val="24"/>
    </w:rPr>
  </w:style>
  <w:style w:type="paragraph" w:customStyle="1" w:styleId="Style4">
    <w:name w:val="Style4"/>
    <w:basedOn w:val="a"/>
    <w:link w:val="Style40"/>
    <w:pPr>
      <w:widowControl w:val="0"/>
      <w:spacing w:line="332" w:lineRule="exact"/>
      <w:jc w:val="both"/>
    </w:p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styleId="2d">
    <w:name w:val="Body Text Indent 2"/>
    <w:basedOn w:val="a"/>
    <w:link w:val="2e"/>
    <w:pPr>
      <w:spacing w:after="120" w:line="480" w:lineRule="auto"/>
      <w:ind w:left="283"/>
    </w:pPr>
    <w:rPr>
      <w:sz w:val="26"/>
    </w:rPr>
  </w:style>
  <w:style w:type="character" w:customStyle="1" w:styleId="2e">
    <w:name w:val="Основной текст с отступом 2 Знак"/>
    <w:basedOn w:val="1"/>
    <w:link w:val="2d"/>
    <w:rPr>
      <w:rFonts w:ascii="Times New Roman" w:hAnsi="Times New Roman"/>
      <w:sz w:val="26"/>
    </w:rPr>
  </w:style>
  <w:style w:type="paragraph" w:customStyle="1" w:styleId="afff0">
    <w:name w:val="?????? ??????"/>
    <w:basedOn w:val="13"/>
    <w:link w:val="afff1"/>
    <w:rPr>
      <w:vertAlign w:val="superscript"/>
    </w:rPr>
  </w:style>
  <w:style w:type="character" w:customStyle="1" w:styleId="afff1">
    <w:name w:val="?????? ??????"/>
    <w:basedOn w:val="a0"/>
    <w:link w:val="afff0"/>
    <w:rPr>
      <w:vertAlign w:val="superscript"/>
    </w:rPr>
  </w:style>
  <w:style w:type="paragraph" w:customStyle="1" w:styleId="afff2">
    <w:name w:val="Нормальный (таблица)"/>
    <w:basedOn w:val="a"/>
    <w:next w:val="a"/>
    <w:link w:val="afff3"/>
    <w:pPr>
      <w:widowControl w:val="0"/>
      <w:jc w:val="both"/>
    </w:pPr>
    <w:rPr>
      <w:rFonts w:ascii="Arial" w:hAnsi="Arial"/>
    </w:rPr>
  </w:style>
  <w:style w:type="character" w:customStyle="1" w:styleId="afff3">
    <w:name w:val="Нормальный (таблица)"/>
    <w:basedOn w:val="1"/>
    <w:link w:val="afff2"/>
    <w:rPr>
      <w:rFonts w:ascii="Arial" w:hAnsi="Arial"/>
      <w:sz w:val="24"/>
    </w:rPr>
  </w:style>
  <w:style w:type="paragraph" w:customStyle="1" w:styleId="western">
    <w:name w:val="western"/>
    <w:basedOn w:val="a"/>
    <w:link w:val="western0"/>
    <w:pPr>
      <w:spacing w:beforeAutospacing="1" w:afterAutospacing="1"/>
    </w:p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customStyle="1" w:styleId="FootnoteTextChar19">
    <w:name w:val="Footnote Text Char19"/>
    <w:basedOn w:val="13"/>
    <w:link w:val="FootnoteTextChar190"/>
    <w:rPr>
      <w:rFonts w:ascii="Times New Roman" w:hAnsi="Times New Roman"/>
      <w:sz w:val="20"/>
    </w:rPr>
  </w:style>
  <w:style w:type="character" w:customStyle="1" w:styleId="FootnoteTextChar190">
    <w:name w:val="Footnote Text Char19"/>
    <w:basedOn w:val="a0"/>
    <w:link w:val="FootnoteTextChar19"/>
    <w:rPr>
      <w:rFonts w:ascii="Times New Roman" w:hAnsi="Times New Roman"/>
      <w:sz w:val="20"/>
    </w:rPr>
  </w:style>
  <w:style w:type="paragraph" w:customStyle="1" w:styleId="pt-a0-000005">
    <w:name w:val="pt-a0-000005"/>
    <w:basedOn w:val="13"/>
    <w:link w:val="pt-a0-0000050"/>
  </w:style>
  <w:style w:type="character" w:customStyle="1" w:styleId="pt-a0-0000050">
    <w:name w:val="pt-a0-000005"/>
    <w:basedOn w:val="a0"/>
    <w:link w:val="pt-a0-000005"/>
  </w:style>
  <w:style w:type="paragraph" w:customStyle="1" w:styleId="apple-converted-space">
    <w:name w:val="apple-converted-space"/>
    <w:basedOn w:val="13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styleId="afff4">
    <w:name w:val="Subtitle"/>
    <w:next w:val="a"/>
    <w:link w:val="aff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5">
    <w:name w:val="Подзаголовок Знак"/>
    <w:link w:val="afff4"/>
    <w:rPr>
      <w:rFonts w:ascii="XO Thames" w:hAnsi="XO Thames"/>
      <w:i/>
      <w:sz w:val="24"/>
    </w:rPr>
  </w:style>
  <w:style w:type="paragraph" w:customStyle="1" w:styleId="NormalANX">
    <w:name w:val="NormalANX"/>
    <w:basedOn w:val="a"/>
    <w:link w:val="NormalANX0"/>
    <w:pPr>
      <w:spacing w:before="240" w:after="240" w:line="360" w:lineRule="auto"/>
      <w:ind w:firstLine="720"/>
      <w:jc w:val="both"/>
    </w:pPr>
    <w:rPr>
      <w:sz w:val="28"/>
    </w:rPr>
  </w:style>
  <w:style w:type="character" w:customStyle="1" w:styleId="NormalANX0">
    <w:name w:val="NormalANX"/>
    <w:basedOn w:val="1"/>
    <w:link w:val="NormalANX"/>
    <w:rPr>
      <w:rFonts w:ascii="Times New Roman" w:hAnsi="Times New Roman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styleId="afff6">
    <w:name w:val="Title"/>
    <w:basedOn w:val="a"/>
    <w:link w:val="afff7"/>
    <w:uiPriority w:val="10"/>
    <w:qFormat/>
    <w:pPr>
      <w:spacing w:line="300" w:lineRule="atLeast"/>
      <w:ind w:firstLine="720"/>
      <w:jc w:val="center"/>
    </w:pPr>
    <w:rPr>
      <w:b/>
      <w:color w:val="FF0000"/>
      <w:sz w:val="28"/>
    </w:rPr>
  </w:style>
  <w:style w:type="character" w:customStyle="1" w:styleId="afff7">
    <w:name w:val="Заголовок Знак"/>
    <w:basedOn w:val="1"/>
    <w:link w:val="afff6"/>
    <w:rPr>
      <w:rFonts w:ascii="Times New Roman" w:hAnsi="Times New Roman"/>
      <w:b/>
      <w:color w:val="FF0000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afff8">
    <w:name w:val="Сравнение редакций. Добавленный фрагмент"/>
    <w:link w:val="afff9"/>
    <w:rPr>
      <w:shd w:val="clear" w:color="auto" w:fill="C1D7FF"/>
    </w:rPr>
  </w:style>
  <w:style w:type="character" w:customStyle="1" w:styleId="afff9">
    <w:name w:val="Сравнение редакций. Добавленный фрагмент"/>
    <w:link w:val="afff8"/>
    <w:rPr>
      <w:color w:val="000000"/>
      <w:shd w:val="clear" w:color="auto" w:fill="C1D7FF"/>
    </w:rPr>
  </w:style>
  <w:style w:type="paragraph" w:customStyle="1" w:styleId="ConsPlusNormal2">
    <w:name w:val="ConsPlusNormal2"/>
    <w:link w:val="ConsPlusNormal20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20">
    <w:name w:val="ConsPlusNormal2"/>
    <w:link w:val="ConsPlusNormal2"/>
    <w:rPr>
      <w:rFonts w:ascii="Times New Roman" w:hAnsi="Times New Roman"/>
      <w:sz w:val="28"/>
    </w:rPr>
  </w:style>
  <w:style w:type="paragraph" w:customStyle="1" w:styleId="1f2">
    <w:name w:val="Знак концевой сноски1"/>
    <w:basedOn w:val="13"/>
    <w:link w:val="afffa"/>
    <w:rPr>
      <w:vertAlign w:val="superscript"/>
    </w:rPr>
  </w:style>
  <w:style w:type="character" w:styleId="afffa">
    <w:name w:val="endnote reference"/>
    <w:basedOn w:val="a0"/>
    <w:link w:val="1f2"/>
    <w:rPr>
      <w:vertAlign w:val="superscript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32"/>
    </w:rPr>
  </w:style>
  <w:style w:type="paragraph" w:styleId="afffb">
    <w:name w:val="List Paragraph"/>
    <w:basedOn w:val="a"/>
    <w:link w:val="afffc"/>
    <w:pPr>
      <w:ind w:left="720"/>
    </w:pPr>
  </w:style>
  <w:style w:type="character" w:customStyle="1" w:styleId="afffc">
    <w:name w:val="Абзац списка Знак"/>
    <w:basedOn w:val="1"/>
    <w:link w:val="afffb"/>
    <w:rPr>
      <w:rFonts w:ascii="Times New Roman" w:hAnsi="Times New Roman"/>
      <w:sz w:val="24"/>
    </w:rPr>
  </w:style>
  <w:style w:type="table" w:customStyle="1" w:styleId="-11">
    <w:name w:val="Светлый список - Акцент 11"/>
    <w:basedOn w:val="a1"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</w:style>
  <w:style w:type="table" w:customStyle="1" w:styleId="-14">
    <w:name w:val="Светлый список - Акцент 14"/>
    <w:basedOn w:val="a1"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</w:style>
  <w:style w:type="table" w:styleId="afffd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3">
    <w:name w:val="Стиль1"/>
    <w:basedOn w:val="a1"/>
    <w:pPr>
      <w:spacing w:after="0" w:line="240" w:lineRule="auto"/>
      <w:jc w:val="center"/>
    </w:pPr>
    <w:rPr>
      <w:rFonts w:ascii="Times New Roman" w:hAnsi="Times New Roman"/>
      <w:sz w:val="18"/>
    </w:rPr>
    <w:tblPr>
      <w:tblBorders>
        <w:top w:val="single" w:sz="2" w:space="0" w:color="4F81BD" w:themeColor="accent1"/>
        <w:left w:val="single" w:sz="2" w:space="0" w:color="4F81BD" w:themeColor="accent1"/>
        <w:bottom w:val="single" w:sz="2" w:space="0" w:color="4F81BD" w:themeColor="accent1"/>
        <w:right w:val="single" w:sz="2" w:space="0" w:color="4F81BD" w:themeColor="accent1"/>
        <w:insideH w:val="single" w:sz="2" w:space="0" w:color="4F81BD" w:themeColor="accent1"/>
        <w:insideV w:val="single" w:sz="2" w:space="0" w:color="4F81BD" w:themeColor="accent1"/>
      </w:tblBorders>
    </w:tblPr>
  </w:style>
  <w:style w:type="table" w:customStyle="1" w:styleId="-13">
    <w:name w:val="Светлый список - Акцент 13"/>
    <w:basedOn w:val="a1"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</w:style>
  <w:style w:type="table" w:customStyle="1" w:styleId="-12">
    <w:name w:val="Светлый список - Акцент 12"/>
    <w:basedOn w:val="a1"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</w:style>
  <w:style w:type="table" w:customStyle="1" w:styleId="1f4">
    <w:name w:val="Сетка таблицы1"/>
    <w:basedOn w:val="a1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003&amp;date=24.07.2024&amp;dst=100784&amp;field=13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6003&amp;date=24.07.2024&amp;dst=100778&amp;field=134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003&amp;date=24.07.2024&amp;dst=1013&amp;field=134" TargetMode="External"/><Relationship Id="rId11" Type="http://schemas.openxmlformats.org/officeDocument/2006/relationships/hyperlink" Target="https://login.consultant.ru/link/?req=doc&amp;base=LAW&amp;n=466003&amp;date=24.07.2024&amp;dst=100784&amp;field=134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66003&amp;date=24.07.2024&amp;dst=100778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66003&amp;date=24.07.2024&amp;dst=1013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6561</Words>
  <Characters>37402</Characters>
  <Application>Microsoft Office Word</Application>
  <DocSecurity>0</DocSecurity>
  <Lines>311</Lines>
  <Paragraphs>87</Paragraphs>
  <ScaleCrop>false</ScaleCrop>
  <Company/>
  <LinksUpToDate>false</LinksUpToDate>
  <CharactersWithSpaces>43876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Бунова О.В.</cp:lastModifiedBy>
  <cp:revision>2</cp:revision>
  <dcterms:created xsi:type="dcterms:W3CDTF">2024-11-12T06:49:00Z</dcterms:created>
  <dcterms:modified xsi:type="dcterms:W3CDTF">2024-11-12T06:50:00Z</dcterms:modified>
</cp:coreProperties>
</file>