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6"/>
      </w:pPr>
      <w:r>
        <w:t xml:space="preserve">Документ предоставлен </w:t>
      </w:r>
      <w:hyperlink r:id="rId8" w:tooltip="https://www.consultant.ru" w:history="1">
        <w:r>
          <w:rPr>
            <w:color w:val="0000ff"/>
          </w:rPr>
          <w:t xml:space="preserve">КонсультантПлюс</w:t>
        </w:r>
      </w:hyperlink>
      <w:r>
        <w:br/>
      </w:r>
      <w:r/>
    </w:p>
    <w:p>
      <w:pPr>
        <w:pStyle w:val="621"/>
        <w:jc w:val="both"/>
        <w:outlineLvl w:val="0"/>
      </w:pPr>
      <w:r/>
      <w:r/>
    </w:p>
    <w:p>
      <w:pPr>
        <w:pStyle w:val="623"/>
        <w:jc w:val="center"/>
        <w:outlineLvl w:val="0"/>
      </w:pPr>
      <w:r>
        <w:t xml:space="preserve">ГУБЕРНАТОР КРАСНОДАРСКОГО КРАЯ</w:t>
      </w:r>
      <w:r/>
    </w:p>
    <w:p>
      <w:pPr>
        <w:pStyle w:val="623"/>
        <w:jc w:val="both"/>
      </w:pPr>
      <w:r/>
      <w:r/>
    </w:p>
    <w:p>
      <w:pPr>
        <w:pStyle w:val="623"/>
        <w:jc w:val="center"/>
      </w:pPr>
      <w:r>
        <w:t xml:space="preserve">РАСПОРЯЖЕНИЕ</w:t>
      </w:r>
      <w:r/>
    </w:p>
    <w:p>
      <w:pPr>
        <w:pStyle w:val="623"/>
        <w:jc w:val="center"/>
      </w:pPr>
      <w:r>
        <w:t xml:space="preserve">от 1 июня 2026 г. N 128-р</w:t>
      </w:r>
      <w:r/>
    </w:p>
    <w:p>
      <w:pPr>
        <w:pStyle w:val="623"/>
        <w:jc w:val="both"/>
      </w:pPr>
      <w:r/>
      <w:r/>
    </w:p>
    <w:p>
      <w:pPr>
        <w:pStyle w:val="623"/>
        <w:jc w:val="center"/>
      </w:pPr>
      <w:r>
        <w:t xml:space="preserve">ОБ УТВЕРЖДЕНИИ</w:t>
      </w:r>
      <w:r/>
    </w:p>
    <w:p>
      <w:pPr>
        <w:pStyle w:val="623"/>
        <w:jc w:val="center"/>
      </w:pPr>
      <w:r>
        <w:t xml:space="preserve">ПРОГРАММЫ ОЗДОРОВЛЕНИЯ ГОСУДАРСТВЕННЫХ ФИНАНСОВ</w:t>
      </w:r>
      <w:r/>
    </w:p>
    <w:p>
      <w:pPr>
        <w:pStyle w:val="623"/>
        <w:jc w:val="center"/>
      </w:pPr>
      <w:r>
        <w:t xml:space="preserve">КРАСНОДАРСКОГО КРАЯ</w:t>
      </w:r>
      <w:r/>
    </w:p>
    <w:p>
      <w:pPr>
        <w:pStyle w:val="621"/>
        <w:jc w:val="both"/>
      </w:pPr>
      <w:r/>
      <w:r/>
    </w:p>
    <w:p>
      <w:pPr>
        <w:pStyle w:val="621"/>
        <w:ind w:firstLine="540"/>
        <w:jc w:val="both"/>
      </w:pPr>
      <w:r>
        <w:t xml:space="preserve">В целях актуализации и систематизации реализуемых в Краснодарском крае мероприятий по повышению эффективности управления государственными финансами Краснодарского края, а также с учетом </w:t>
      </w:r>
      <w:r>
        <w:t xml:space="preserve">положений </w:t>
      </w:r>
      <w:hyperlink r:id="rId9" w:tooltip="https://login.consultant.ru/link/?req=doc&amp;base=LAW&amp;n=512721&amp;dst=101884" w:history="1">
        <w:r>
          <w:rPr>
            <w:color w:val="0000ff"/>
          </w:rPr>
          <w:t xml:space="preserve">приказа</w:t>
        </w:r>
      </w:hyperlink>
      <w:r>
        <w:t xml:space="preserve"> Министерства финансов Российской Федерации</w:t>
      </w:r>
      <w:r>
        <w:t xml:space="preserve"> от 03 декабря 2010 г. N 552 "О Порядке осуществления мониторинга и оценки качества управления региональными финансами":</w:t>
      </w:r>
      <w:r/>
    </w:p>
    <w:p>
      <w:pPr>
        <w:pStyle w:val="621"/>
        <w:ind w:firstLine="540"/>
        <w:jc w:val="both"/>
        <w:spacing w:before="220"/>
      </w:pPr>
      <w:r>
        <w:t xml:space="preserve">1. Утвердить </w:t>
      </w:r>
      <w:hyperlink w:tooltip="#P34" w:anchor="P34" w:history="1">
        <w:r>
          <w:rPr>
            <w:color w:val="0000ff"/>
          </w:rPr>
          <w:t xml:space="preserve">Программу</w:t>
        </w:r>
      </w:hyperlink>
      <w:r>
        <w:t xml:space="preserve"> оздоровления государственных финансов Краснодарского края (далее - Программа) согласно приложению к настоящему распоряжению.</w:t>
      </w:r>
      <w:r/>
    </w:p>
    <w:p>
      <w:pPr>
        <w:pStyle w:val="621"/>
        <w:ind w:firstLine="540"/>
        <w:jc w:val="both"/>
        <w:spacing w:before="220"/>
      </w:pPr>
      <w:r>
        <w:t xml:space="preserve">2. Органам исполнительной власти Краснодарского края, структурным подразделениям администрации Краснодарского края:</w:t>
      </w:r>
      <w:r/>
    </w:p>
    <w:p>
      <w:pPr>
        <w:pStyle w:val="621"/>
        <w:ind w:firstLine="540"/>
        <w:jc w:val="both"/>
        <w:spacing w:before="220"/>
      </w:pPr>
      <w:r>
        <w:t xml:space="preserve">1) руководствоваться мероприятиями </w:t>
      </w:r>
      <w:hyperlink w:tooltip="#P34" w:anchor="P34" w:history="1">
        <w:r>
          <w:rPr>
            <w:color w:val="0000ff"/>
          </w:rPr>
          <w:t xml:space="preserve">Программы</w:t>
        </w:r>
      </w:hyperlink>
      <w:r>
        <w:t xml:space="preserve"> при составлении проекта бюджета Краснодарского края и участии в исполнении бюджета Краснодарского края, а также при подготовке проектов правовых актов Краснодарского края;</w:t>
      </w:r>
      <w:r/>
    </w:p>
    <w:p>
      <w:pPr>
        <w:pStyle w:val="621"/>
        <w:ind w:firstLine="540"/>
        <w:jc w:val="both"/>
        <w:spacing w:before="220"/>
      </w:pPr>
      <w:r>
        <w:t xml:space="preserve">2) обеспечить выполнение мероприятий, предусмотренных </w:t>
      </w:r>
      <w:hyperlink w:tooltip="#P34" w:anchor="P34" w:history="1">
        <w:r>
          <w:rPr>
            <w:color w:val="0000ff"/>
          </w:rPr>
          <w:t xml:space="preserve">Программой</w:t>
        </w:r>
      </w:hyperlink>
      <w:r>
        <w:t xml:space="preserve">;</w:t>
      </w:r>
      <w:r/>
    </w:p>
    <w:p>
      <w:pPr>
        <w:pStyle w:val="621"/>
        <w:ind w:firstLine="540"/>
        <w:jc w:val="both"/>
        <w:spacing w:before="220"/>
      </w:pPr>
      <w:r>
        <w:t xml:space="preserve">3) информировать министерство финансов Краснодарского края о ходе реализации </w:t>
      </w:r>
      <w:hyperlink w:tooltip="#P133" w:anchor="P133" w:history="1">
        <w:r>
          <w:rPr>
            <w:color w:val="0000ff"/>
          </w:rPr>
          <w:t xml:space="preserve">Плана</w:t>
        </w:r>
      </w:hyperlink>
      <w:r>
        <w:t xml:space="preserve"> мероприятий по реализации Программы в сроки, установленные министерством финансов Краснодарского края.</w:t>
      </w:r>
      <w:r/>
    </w:p>
    <w:p>
      <w:pPr>
        <w:pStyle w:val="621"/>
        <w:ind w:firstLine="540"/>
        <w:jc w:val="both"/>
        <w:spacing w:before="220"/>
      </w:pPr>
      <w:r>
        <w:t xml:space="preserve">3. Рекомендовать органам местного самоуправления муниципальных образований Краснодарского края утвердить (скорректировать) программы оздоровления муниципальных финансов.</w:t>
      </w:r>
      <w:r/>
    </w:p>
    <w:p>
      <w:pPr>
        <w:pStyle w:val="621"/>
        <w:ind w:firstLine="540"/>
        <w:jc w:val="both"/>
        <w:spacing w:before="220"/>
      </w:pPr>
      <w:r>
        <w:t xml:space="preserve">4. </w:t>
      </w:r>
      <w:r>
        <w:t xml:space="preserve">Контроль за</w:t>
      </w:r>
      <w:r>
        <w:t xml:space="preserve"> выполнением настоящего распоряжения возложить на первого заместителя Губернатора Краснодарского края Галася И.П.</w:t>
      </w:r>
      <w:r/>
    </w:p>
    <w:p>
      <w:pPr>
        <w:pStyle w:val="621"/>
        <w:ind w:firstLine="540"/>
        <w:jc w:val="both"/>
        <w:spacing w:before="220"/>
      </w:pPr>
      <w:r>
        <w:t xml:space="preserve">5. Распоряжение вступает в силу со дня его подписания.</w:t>
      </w:r>
      <w:r/>
    </w:p>
    <w:p>
      <w:pPr>
        <w:pStyle w:val="621"/>
        <w:jc w:val="both"/>
      </w:pPr>
      <w:r/>
      <w:r/>
    </w:p>
    <w:p>
      <w:pPr>
        <w:pStyle w:val="621"/>
        <w:jc w:val="right"/>
      </w:pPr>
      <w:r>
        <w:t xml:space="preserve">Губернатор Краснодарского края</w:t>
      </w:r>
      <w:r/>
    </w:p>
    <w:p>
      <w:pPr>
        <w:pStyle w:val="621"/>
        <w:jc w:val="right"/>
      </w:pPr>
      <w:r>
        <w:t xml:space="preserve">В.И.КОНДРАТЬЕВ</w:t>
      </w:r>
      <w:r/>
    </w:p>
    <w:p>
      <w:pPr>
        <w:pStyle w:val="621"/>
        <w:jc w:val="both"/>
      </w:pPr>
      <w:r/>
      <w:r/>
    </w:p>
    <w:p>
      <w:pPr>
        <w:pStyle w:val="621"/>
        <w:jc w:val="both"/>
      </w:pPr>
      <w:r/>
      <w:r/>
    </w:p>
    <w:p>
      <w:pPr>
        <w:pStyle w:val="621"/>
        <w:jc w:val="both"/>
      </w:pPr>
      <w:r/>
      <w:r/>
    </w:p>
    <w:p>
      <w:pPr>
        <w:pStyle w:val="621"/>
        <w:jc w:val="both"/>
      </w:pPr>
      <w:r/>
      <w:r/>
    </w:p>
    <w:p>
      <w:pPr>
        <w:pStyle w:val="621"/>
        <w:jc w:val="both"/>
      </w:pPr>
      <w:r/>
      <w:r/>
    </w:p>
    <w:p>
      <w:pPr>
        <w:pStyle w:val="621"/>
        <w:jc w:val="right"/>
        <w:outlineLvl w:val="0"/>
      </w:pPr>
      <w:r>
        <w:t xml:space="preserve">Приложение</w:t>
      </w:r>
      <w:r/>
    </w:p>
    <w:p>
      <w:pPr>
        <w:pStyle w:val="621"/>
        <w:jc w:val="both"/>
      </w:pPr>
      <w:r/>
      <w:r/>
    </w:p>
    <w:p>
      <w:pPr>
        <w:pStyle w:val="621"/>
        <w:jc w:val="right"/>
      </w:pPr>
      <w:r>
        <w:t xml:space="preserve">Утверждена</w:t>
      </w:r>
      <w:r/>
    </w:p>
    <w:p>
      <w:pPr>
        <w:pStyle w:val="621"/>
        <w:jc w:val="right"/>
      </w:pPr>
      <w:r>
        <w:t xml:space="preserve">распоряжением</w:t>
      </w:r>
      <w:r/>
    </w:p>
    <w:p>
      <w:pPr>
        <w:pStyle w:val="621"/>
        <w:jc w:val="right"/>
      </w:pPr>
      <w:r>
        <w:t xml:space="preserve">Губернатора Краснодарского края</w:t>
      </w:r>
      <w:r/>
    </w:p>
    <w:p>
      <w:pPr>
        <w:pStyle w:val="621"/>
        <w:jc w:val="right"/>
      </w:pPr>
      <w:r>
        <w:t xml:space="preserve">от 1 июня 2026 г. N 128-р</w:t>
      </w:r>
      <w:r/>
    </w:p>
    <w:p>
      <w:pPr>
        <w:pStyle w:val="621"/>
        <w:jc w:val="both"/>
      </w:pPr>
      <w:r/>
      <w:r/>
    </w:p>
    <w:p>
      <w:pPr>
        <w:pStyle w:val="623"/>
        <w:jc w:val="center"/>
      </w:pPr>
      <w:r/>
      <w:bookmarkStart w:id="0" w:name="P34"/>
      <w:r/>
      <w:bookmarkEnd w:id="0"/>
      <w:r>
        <w:t xml:space="preserve">ПРОГРАММА</w:t>
      </w:r>
      <w:r/>
    </w:p>
    <w:p>
      <w:pPr>
        <w:pStyle w:val="623"/>
        <w:jc w:val="center"/>
      </w:pPr>
      <w:r>
        <w:t xml:space="preserve">ОЗДОРОВЛЕНИЯ ГОСУДАРСТВЕННЫХ ФИНАНСОВ</w:t>
      </w:r>
      <w:r/>
    </w:p>
    <w:p>
      <w:pPr>
        <w:pStyle w:val="623"/>
        <w:jc w:val="center"/>
      </w:pPr>
      <w:r>
        <w:t xml:space="preserve">КРАСНОДАРСКОГО КРАЯ</w:t>
      </w:r>
      <w:r/>
    </w:p>
    <w:p>
      <w:pPr>
        <w:pStyle w:val="621"/>
        <w:jc w:val="both"/>
      </w:pPr>
      <w:r/>
      <w:r/>
    </w:p>
    <w:p>
      <w:pPr>
        <w:pStyle w:val="621"/>
        <w:ind w:firstLine="540"/>
        <w:jc w:val="both"/>
      </w:pPr>
      <w:r>
        <w:t xml:space="preserve">Программа оздоровления государственных ф</w:t>
      </w:r>
      <w:r>
        <w:t xml:space="preserve">инансов Краснодарского края (далее - Программа) разработана в целях актуализации и систематизации реализуемых в Краснодарском крае мероприятий по повышению эффективности управления государственными финансами Краснодарского края, а также с учетом положений </w:t>
      </w:r>
      <w:hyperlink r:id="rId10" w:tooltip="https://login.consultant.ru/link/?req=doc&amp;base=LAW&amp;n=512721&amp;dst=101884" w:history="1">
        <w:r>
          <w:rPr>
            <w:color w:val="0000ff"/>
          </w:rPr>
          <w:t xml:space="preserve">приказа</w:t>
        </w:r>
      </w:hyperlink>
      <w:r>
        <w:t xml:space="preserve"> Министерства финансов Российской Федерации от 03 декабря 2010 г. N 552 "О Порядке осуществления мониторинга и оценки качества управления региональными финансами".</w:t>
      </w:r>
      <w:r/>
    </w:p>
    <w:p>
      <w:pPr>
        <w:pStyle w:val="621"/>
        <w:jc w:val="both"/>
      </w:pPr>
      <w:r/>
      <w:r/>
    </w:p>
    <w:p>
      <w:pPr>
        <w:pStyle w:val="623"/>
        <w:jc w:val="center"/>
        <w:outlineLvl w:val="1"/>
      </w:pPr>
      <w:r>
        <w:t xml:space="preserve">1. Итоги реализации мероприятий по повышению эффективности</w:t>
      </w:r>
      <w:r/>
    </w:p>
    <w:p>
      <w:pPr>
        <w:pStyle w:val="623"/>
        <w:jc w:val="center"/>
      </w:pPr>
      <w:r>
        <w:t xml:space="preserve">управления государственными финансами Краснодарского края</w:t>
      </w:r>
      <w:r/>
    </w:p>
    <w:p>
      <w:pPr>
        <w:pStyle w:val="623"/>
        <w:jc w:val="center"/>
      </w:pPr>
      <w:r>
        <w:t xml:space="preserve">и текущая ситуация в данной сфере</w:t>
      </w:r>
      <w:r/>
    </w:p>
    <w:p>
      <w:pPr>
        <w:pStyle w:val="621"/>
        <w:jc w:val="both"/>
      </w:pPr>
      <w:r/>
      <w:r/>
    </w:p>
    <w:p>
      <w:pPr>
        <w:pStyle w:val="621"/>
        <w:ind w:firstLine="540"/>
        <w:jc w:val="both"/>
      </w:pPr>
      <w:r>
        <w:t xml:space="preserve">Повышение эффективности управления государственными финансами Краснодарского края является важнейшей частью бюджетной политики Краснодарского края.</w:t>
      </w:r>
      <w:r/>
    </w:p>
    <w:p>
      <w:pPr>
        <w:pStyle w:val="621"/>
        <w:ind w:firstLine="540"/>
        <w:jc w:val="both"/>
        <w:spacing w:before="220"/>
      </w:pPr>
      <w:r>
        <w:t xml:space="preserve">В последние годы работа по оздоровлению государственных финансов Краснодарского края осуществлялась в рамках админис</w:t>
      </w:r>
      <w:r>
        <w:t xml:space="preserve">тративной и бюджетной реформ, проводимых на федеральном уровне (2002 - 2012 годы), а также в рамках выполнения условий проведения реструктуризации обязательств (задолженности) Краснодарского края перед Российской Федерацией по бюджетным кредитам; обязатель</w:t>
      </w:r>
      <w:r>
        <w:t xml:space="preserve">ств Кр</w:t>
      </w:r>
      <w:r>
        <w:t xml:space="preserve">аснодарского края как получателя дотации на выравнивание бюджетной обеспеченности субъектов Российской Федерации из федерального бюджета (2013 - 2026 годы).</w:t>
      </w:r>
      <w:r/>
    </w:p>
    <w:p>
      <w:pPr>
        <w:pStyle w:val="621"/>
        <w:ind w:firstLine="540"/>
        <w:jc w:val="both"/>
        <w:spacing w:before="220"/>
      </w:pPr>
      <w:r>
        <w:t xml:space="preserve">Реализация мероприятий по повышению эффективности управления государственными финансами Краснодарского края</w:t>
      </w:r>
      <w:r>
        <w:t xml:space="preserve"> позволила обеспечить устойчивость и развитие бюджетной системы Краснодарского края, в том числе в условиях, связанных с макроэкономической нестабильностью; пандемией; чрезвычайными ситуациями, обусловленными стихийными бедствиями и техногенными факторами.</w:t>
      </w:r>
      <w:r/>
    </w:p>
    <w:p>
      <w:pPr>
        <w:pStyle w:val="621"/>
        <w:ind w:firstLine="540"/>
        <w:jc w:val="both"/>
        <w:spacing w:before="220"/>
      </w:pPr>
      <w:r>
        <w:t xml:space="preserve">Сегодня Краснодарский край - в лидерах среди субъектов Российской Федерации по основным показателям консолидированного бюджета:</w:t>
      </w:r>
      <w:r/>
    </w:p>
    <w:p>
      <w:pPr>
        <w:pStyle w:val="621"/>
        <w:ind w:firstLine="540"/>
        <w:jc w:val="both"/>
        <w:spacing w:before="220"/>
      </w:pPr>
      <w:r>
        <w:t xml:space="preserve">5-е место по объему налоговых и неналоговых доходов за 2025 год (в 2015 году - 11-е место), прирост указанных доходов за </w:t>
      </w:r>
      <w:r>
        <w:t xml:space="preserve">последние</w:t>
      </w:r>
      <w:r>
        <w:t xml:space="preserve"> 10 лет (с 2015 года по 2025 год) - в 3,0 раза (с 199,9 млрд. рублей до 599,0 млрд. рублей);</w:t>
      </w:r>
      <w:r/>
    </w:p>
    <w:p>
      <w:pPr>
        <w:pStyle w:val="621"/>
        <w:ind w:firstLine="540"/>
        <w:jc w:val="both"/>
        <w:spacing w:before="220"/>
      </w:pPr>
      <w:r>
        <w:t xml:space="preserve">4-е место по объему расходов на социальную сферу за 2025 год (в 2015 году - 5-е место)</w:t>
      </w:r>
      <w:r>
        <w:t xml:space="preserve">, прирост указанных расходов за последние 10 лет (с 2015 года по 2025 год) - в 2,8 раза (с 172,2 млрд. рублей до 489,3 млрд. рублей), доля указанных расходов в 2025 году в общем объеме расходов - 68,9% (в среднем по субъектам Российской Федерации - 57,8%);</w:t>
      </w:r>
      <w:r/>
    </w:p>
    <w:p>
      <w:pPr>
        <w:pStyle w:val="621"/>
        <w:ind w:firstLine="540"/>
        <w:jc w:val="both"/>
        <w:spacing w:before="220"/>
      </w:pPr>
      <w:r>
        <w:t xml:space="preserve">5-е место по объему расходов на капитальные вложения в объекты государственной (муниципальной) собственности за 20</w:t>
      </w:r>
      <w:r>
        <w:t xml:space="preserve">25 год (в 2015 году - 15-е место), прирост указанных расходов за последние 10 лет (с 2015 года по 2025 год) - в 4,5 раза (с 16,8 млрд. рублей до 75,3 млрд. рублей), доля указанных расходов в 2025 году в общем объеме расходов - 10,6% (в среднем по субъектам</w:t>
      </w:r>
      <w:r>
        <w:t xml:space="preserve"> </w:t>
      </w:r>
      <w:r>
        <w:t xml:space="preserve">Российской Федерации - 9,8%);</w:t>
      </w:r>
      <w:r/>
    </w:p>
    <w:p>
      <w:pPr>
        <w:pStyle w:val="621"/>
        <w:ind w:firstLine="540"/>
        <w:jc w:val="both"/>
        <w:spacing w:before="220"/>
      </w:pPr>
      <w:r>
        <w:t xml:space="preserve">доля р</w:t>
      </w:r>
      <w:r>
        <w:t xml:space="preserve">асходов на обслуживание государственного (муниципального) долга в общем объеме расходов за 2025 год (0,21%) в 2,6 раза ниже, чем в среднем по субъектам Российской Федерации (0,55%), снижение расходов на обслуживание государственного (муниципального) долга </w:t>
      </w:r>
      <w:r>
        <w:t xml:space="preserve">в</w:t>
      </w:r>
      <w:r>
        <w:t xml:space="preserve"> </w:t>
      </w:r>
      <w:r>
        <w:t xml:space="preserve">Краснодарском крае за </w:t>
      </w:r>
      <w:r>
        <w:t xml:space="preserve">последние</w:t>
      </w:r>
      <w:r>
        <w:t xml:space="preserve"> 10 лет (с 2015 года по 2025 год) - в 4,9 раза (с 7,4 млрд. рублей до 1,5 млрд. рублей).</w:t>
      </w:r>
      <w:r/>
    </w:p>
    <w:p>
      <w:pPr>
        <w:pStyle w:val="621"/>
        <w:ind w:firstLine="540"/>
        <w:jc w:val="both"/>
        <w:spacing w:before="220"/>
      </w:pPr>
      <w:r>
        <w:t xml:space="preserve">Доля дотации на выравнивание бюджетной обеспеченности субъектов Российской Федерации из федерального б</w:t>
      </w:r>
      <w:r>
        <w:t xml:space="preserve">юджета бюджету Краснодарского края в общем объеме доходов бюджета Краснодарского края за последние 10 лет (с 2015 года по 2025 год) снижена в 1,7 раза (с 4,8% до 2,8%) (доля указанной дотации в среднем по субъектам Российской Федерации в 2025 году - 4,9%).</w:t>
      </w:r>
      <w:r/>
    </w:p>
    <w:p>
      <w:pPr>
        <w:pStyle w:val="621"/>
        <w:ind w:firstLine="540"/>
        <w:jc w:val="both"/>
        <w:spacing w:before="220"/>
      </w:pPr>
      <w:r>
        <w:t xml:space="preserve">Ежегодно осуществляется разработка и реализация плана мероприятий, направленных на увеличение наполняемости доходной части консолидированного бюджета Краснодарского края.</w:t>
      </w:r>
      <w:r/>
    </w:p>
    <w:p>
      <w:pPr>
        <w:pStyle w:val="621"/>
        <w:ind w:firstLine="540"/>
        <w:jc w:val="both"/>
        <w:spacing w:before="220"/>
      </w:pPr>
      <w:r>
        <w:t xml:space="preserve">С 2017 года осуществлен </w:t>
      </w:r>
      <w:r>
        <w:t xml:space="preserve">переход</w:t>
      </w:r>
      <w:r>
        <w:t xml:space="preserve"> к налогообложению недвижимого имущества исходя из кадастровой стоимости объектов с целью увеличения поступлений налога на имущество организаций.</w:t>
      </w:r>
      <w:r/>
    </w:p>
    <w:p>
      <w:pPr>
        <w:pStyle w:val="621"/>
        <w:ind w:firstLine="540"/>
        <w:jc w:val="both"/>
        <w:spacing w:before="220"/>
      </w:pPr>
      <w:r>
        <w:t xml:space="preserve">С 2018 года введен курортный сбор </w:t>
      </w:r>
      <w:r>
        <w:t xml:space="preserve">в соответствии с законодательством Российской Федерации о проведении эксперимента по развитию курортной инфраструктуры в ряде</w:t>
      </w:r>
      <w:r>
        <w:t xml:space="preserve"> субъектов Российской Федерации (эксперимент проводился по 31 декабря 2024 г.) в целях обеспечения дополнительного финансирования для развития туристической инфраструктуры.</w:t>
      </w:r>
      <w:r/>
    </w:p>
    <w:p>
      <w:pPr>
        <w:pStyle w:val="621"/>
        <w:ind w:firstLine="540"/>
        <w:jc w:val="both"/>
        <w:spacing w:before="220"/>
      </w:pPr>
      <w:r>
        <w:t xml:space="preserve">С 01 июля 2020 г. введен налог на профессиональный доход с целью вовлечения граждан в предпринимательскую деятельность и сокращения неформальной занятости в экономике.</w:t>
      </w:r>
      <w:r/>
    </w:p>
    <w:p>
      <w:pPr>
        <w:pStyle w:val="621"/>
        <w:ind w:firstLine="540"/>
        <w:jc w:val="both"/>
        <w:spacing w:before="220"/>
      </w:pPr>
      <w:r>
        <w:t xml:space="preserve">С 2025 года введен специальн</w:t>
      </w:r>
      <w:r>
        <w:t xml:space="preserve">ый налоговый режим "Автоматизированная упрощенная система налогообложения" в целях облегчения условий ведения микробизнеса, снижения непроизводственных издержек, стимулирования предпринимательской активности, а также легализации доходов налогоплательщиков.</w:t>
      </w:r>
      <w:r/>
    </w:p>
    <w:p>
      <w:pPr>
        <w:pStyle w:val="621"/>
        <w:ind w:firstLine="540"/>
        <w:jc w:val="both"/>
        <w:spacing w:before="220"/>
      </w:pPr>
      <w:r>
        <w:t xml:space="preserve">С 2025 года на территориях 99 муниципальных образований Краснодарского края введен туристический налог в целях увеличения доходов местных бюджетов.</w:t>
      </w:r>
      <w:r/>
    </w:p>
    <w:p>
      <w:pPr>
        <w:pStyle w:val="621"/>
        <w:ind w:firstLine="540"/>
        <w:jc w:val="both"/>
        <w:spacing w:before="220"/>
      </w:pPr>
      <w:r>
        <w:t xml:space="preserve">Внедрены механизмы, направленные на повышение качества управления государственными финансами Краснодарского края.</w:t>
      </w:r>
      <w:r/>
    </w:p>
    <w:p>
      <w:pPr>
        <w:pStyle w:val="621"/>
        <w:ind w:firstLine="540"/>
        <w:jc w:val="both"/>
        <w:spacing w:before="220"/>
      </w:pPr>
      <w:r>
        <w:t xml:space="preserve">Проведена работа по объединению в единое информационное пространство процесса составления и исполнения бюджета Краснодарского края и процесса осуществления закупок товаров, работ, услуг для обеспечения государс</w:t>
      </w:r>
      <w:r>
        <w:t xml:space="preserve">твенных нужд Краснодарского края путем информационной интеграции единой государственной интегрированной информационной системы управления общественными финансами Краснодарского края и региональной информационной системы в сфере закупок Краснодарского края.</w:t>
      </w:r>
      <w:r/>
    </w:p>
    <w:p>
      <w:pPr>
        <w:pStyle w:val="621"/>
        <w:ind w:firstLine="540"/>
        <w:jc w:val="both"/>
        <w:spacing w:before="220"/>
      </w:pPr>
      <w:r>
        <w:t xml:space="preserve">С 2017 года осуществляется финансовый контроль в сфере закупок товаров, работ, услуг для обеспечения государственных нужд Краснодарского края. Это позволяет не допустить</w:t>
      </w:r>
      <w:r>
        <w:t xml:space="preserve"> необоснованное заключение государственных контрактов (договоров), образование кредиторской задолженности государственных учреждений Краснодарского края, а также предотвратить включение недостоверной информации о заключенных контрактах в реестр контрактов.</w:t>
      </w:r>
      <w:r/>
    </w:p>
    <w:p>
      <w:pPr>
        <w:pStyle w:val="621"/>
        <w:ind w:firstLine="540"/>
        <w:jc w:val="both"/>
        <w:spacing w:before="220"/>
      </w:pPr>
      <w:r>
        <w:t xml:space="preserve">С 2019 года осуществляются совместные закупки товаров, работ, услуг для обеспечения нужд исполнит</w:t>
      </w:r>
      <w:r>
        <w:t xml:space="preserve">ельных органов Краснодарского края и государственных учреждений Краснодарского края; централизованные закупки товаров, работ, услуг для обеспечения муниципальных нужд за счет средств межбюджетных трансфертов, предоставляемых из бюджета Краснодарского края.</w:t>
      </w:r>
      <w:r/>
    </w:p>
    <w:p>
      <w:pPr>
        <w:pStyle w:val="621"/>
        <w:ind w:firstLine="540"/>
        <w:jc w:val="both"/>
        <w:spacing w:before="220"/>
      </w:pPr>
      <w:r>
        <w:t xml:space="preserve">С 2022 года осуществляется казначейское сопровождение авансов, полученных </w:t>
      </w:r>
      <w:r>
        <w:t xml:space="preserve">исполнителями и соисполнителями по государственным контрактам (договорам), а также субсидий юридическим и физическим лицам, что позволяет усилить </w:t>
      </w:r>
      <w:r>
        <w:t xml:space="preserve">контроль за</w:t>
      </w:r>
      <w:r>
        <w:t xml:space="preserve"> целевым использованием средств бюджета Краснодарского края.</w:t>
      </w:r>
      <w:r/>
    </w:p>
    <w:p>
      <w:pPr>
        <w:pStyle w:val="621"/>
        <w:ind w:firstLine="540"/>
        <w:jc w:val="both"/>
        <w:spacing w:before="220"/>
      </w:pPr>
      <w:r>
        <w:t xml:space="preserve">В 2018 - 2020 годах проведена централизация бухгалтерского учета в исполнительных органах Краснодарского края и подведомственных им государственных казенных учреждениях Краснодарского края, муниципальных общеобразовательных организациях.</w:t>
      </w:r>
      <w:r/>
    </w:p>
    <w:p>
      <w:pPr>
        <w:pStyle w:val="621"/>
        <w:ind w:firstLine="540"/>
        <w:jc w:val="both"/>
        <w:spacing w:before="220"/>
      </w:pPr>
      <w:r>
        <w:t xml:space="preserve">Постоянно совершенствуется процесс межбюджетного регулирования в К</w:t>
      </w:r>
      <w:r>
        <w:t xml:space="preserve">раснодарском крае - в части уточнения порядка и методики распределения дотаций на выравнивание бюджетной обеспеченности муниципальных образований Краснодарского края; уточнения нормативов отчислений в доходы бюджетов муниципальных образований Краснодарског</w:t>
      </w:r>
      <w:r>
        <w:t xml:space="preserve">о края от отдельных видов доходных источников, зачисляемых в бюджет Краснодарского края; уточнения правил предоставления и методик распределения межбюджетных трансфертов из бюджета Краснодарского края бюджетам муниципальных образований Краснодарского края.</w:t>
      </w:r>
      <w:r/>
    </w:p>
    <w:p>
      <w:pPr>
        <w:pStyle w:val="621"/>
        <w:ind w:firstLine="540"/>
        <w:jc w:val="both"/>
        <w:spacing w:before="220"/>
      </w:pPr>
      <w:r>
        <w:t xml:space="preserve">С 2015 года в Краснодарском крае применяется механизм предо</w:t>
      </w:r>
      <w:r>
        <w:t xml:space="preserve">ставления из бюджета Краснодарского края бюджетам муниципальных образований Краснодарского края межбюджетных трансфертов, имеющих целевое назначение, под "фактическую потребность" (в пределах суммы, необходимой для оплаты денежных обязательств по расходам </w:t>
      </w:r>
      <w:r>
        <w:t xml:space="preserve">получателей средств бюджетов муниципальных образований Краснодарского края</w:t>
      </w:r>
      <w:r>
        <w:t xml:space="preserve">). Это позволяет существенно повысить ликвидность счета бюджета Краснодарского края и исключить финансовые потоки в результате возврата неиспользованных средств.</w:t>
      </w:r>
      <w:r/>
    </w:p>
    <w:p>
      <w:pPr>
        <w:pStyle w:val="621"/>
        <w:ind w:firstLine="540"/>
        <w:jc w:val="both"/>
        <w:spacing w:before="220"/>
      </w:pPr>
      <w:r>
        <w:t xml:space="preserve">С 2022 года предоставляется из бюджета Краснодарского края единая субвенция бюджетам муниципальных образований Краснодарского края в социальной сфере.</w:t>
      </w:r>
      <w:r/>
    </w:p>
    <w:p>
      <w:pPr>
        <w:pStyle w:val="621"/>
        <w:ind w:firstLine="540"/>
        <w:jc w:val="both"/>
        <w:spacing w:before="220"/>
      </w:pPr>
      <w:r>
        <w:t xml:space="preserve">С 2023 года </w:t>
      </w:r>
      <w:r>
        <w:t xml:space="preserve">внедрена</w:t>
      </w:r>
      <w:r>
        <w:t xml:space="preserve"> цифровизация процесса заключения соглашений о предоставлении межбюджетных трансфертов из бюджета Краснодарского края бюджетам муниципальных образований Краснодарского края.</w:t>
      </w:r>
      <w:r/>
    </w:p>
    <w:p>
      <w:pPr>
        <w:pStyle w:val="621"/>
        <w:ind w:firstLine="540"/>
        <w:jc w:val="both"/>
        <w:spacing w:before="220"/>
      </w:pPr>
      <w:r>
        <w:t xml:space="preserve">Применяются различные инструменты управления государственным долгом Краснодарского края:</w:t>
      </w:r>
      <w:r>
        <w:t xml:space="preserve"> обеспечение оптимальной структуры заимствований по их видам и срокам погашения; активное использование финансовых инструментов (привлечение бюджетных кредитов из федерального бюджета для реализации инфраструктурных проектов, списание двух третей задолженн</w:t>
      </w:r>
      <w:r>
        <w:t xml:space="preserve">ости по отдельным бюджетным кредитам, использование возобновляемых кредитных линий при привлечении кредитов от кредитных организаций); поддержание необходимого уровня кредитоспособности Краснодарского края, формирование его благоприятной кредитной истории.</w:t>
      </w:r>
      <w:r/>
    </w:p>
    <w:p>
      <w:pPr>
        <w:pStyle w:val="621"/>
        <w:ind w:firstLine="540"/>
        <w:jc w:val="both"/>
        <w:spacing w:before="220"/>
      </w:pPr>
      <w:r>
        <w:t xml:space="preserve">В целях </w:t>
      </w:r>
      <w:r>
        <w:t xml:space="preserve">повышения ликвидности единого счета бюджета Краснодарского края</w:t>
      </w:r>
      <w:r>
        <w:t xml:space="preserve"> осуществляется привлечение остатков средств государс</w:t>
      </w:r>
      <w:r>
        <w:t xml:space="preserve">твенных бюджетных и государственных автономных учреждений Краснодарского края, участников казначейского сопровождения; размещение средств бюджета на банковских депозитах; привлечение бюджетных кредитов на пополнение остатка средств на едином счете бюджета.</w:t>
      </w:r>
      <w:r/>
    </w:p>
    <w:p>
      <w:pPr>
        <w:pStyle w:val="621"/>
        <w:ind w:firstLine="540"/>
        <w:jc w:val="both"/>
        <w:spacing w:before="220"/>
      </w:pPr>
      <w:r>
        <w:t xml:space="preserve">Проводится работа по обеспечению открытости бюджета Краснодарского края. С 2005 года в Краснодарском крае формируется бюджет в доступной и понят</w:t>
      </w:r>
      <w:r>
        <w:t xml:space="preserve">ной для граждан форме ("бюджет для граждан"), с 2016 года запущен специализированный портал "Открытый бюджет Краснодарского края". Работа по повышению открытости бюджета Краснодарского края позволила Краснодарскому краю входить в тройку лидеров в рейтинге </w:t>
      </w:r>
      <w:r>
        <w:t xml:space="preserve">субъектов Российской Федерации по уровню открытости бюджетных данных, составляемом по заказу Министерства финансов Российской Федерации Научно-исследовательским финансовым институтом, в течение всего времени составления данного рейтинга (2014 - 2025 годы).</w:t>
      </w:r>
      <w:r/>
    </w:p>
    <w:p>
      <w:pPr>
        <w:pStyle w:val="621"/>
        <w:ind w:firstLine="540"/>
        <w:jc w:val="both"/>
        <w:spacing w:before="220"/>
      </w:pPr>
      <w:r>
        <w:t xml:space="preserve">В условиях изменения макроэкономической ситуации для обеспечения сбалансированности бюджета Краснодарского края в 2025 и 2026 годах применяются механи</w:t>
      </w:r>
      <w:r>
        <w:t xml:space="preserve">змы приостановки непервоочередных закупок товаров, работ, услуг для обеспечения государственных нужд; приостановки использования экономии, образовавшейся по результатам заключения государственных контрактов (контрактов) на закупку товаров, работ, услуг для</w:t>
      </w:r>
      <w:r>
        <w:t xml:space="preserve"> обеспечения государственных нужд; сокращения отдельных расходов, включая расходы на содержание государственных органов Краснодарского края и государственных учреждений Краснодарского края; переноса расходов на капитальные вложения на более поздний период.</w:t>
      </w:r>
      <w:r/>
    </w:p>
    <w:p>
      <w:pPr>
        <w:pStyle w:val="621"/>
        <w:ind w:firstLine="540"/>
        <w:jc w:val="both"/>
        <w:spacing w:before="220"/>
      </w:pPr>
      <w:r>
        <w:t xml:space="preserve">Вместе с тем с учетом сохраняющихся рисков исполнения консолидированного бюджета Краснодарского</w:t>
      </w:r>
      <w:r>
        <w:t xml:space="preserve"> края необходимы принятие и реализация системных мер, направленных на дальнейшую работу по мобилизации доходов и оптимизации расходов консолидированного бюджета Краснодарского края, оптимизацию структуры и уровня государственного долга Краснодарского края.</w:t>
      </w:r>
      <w:r/>
    </w:p>
    <w:p>
      <w:pPr>
        <w:pStyle w:val="621"/>
        <w:jc w:val="both"/>
      </w:pPr>
      <w:r/>
      <w:r/>
    </w:p>
    <w:p>
      <w:pPr>
        <w:pStyle w:val="623"/>
        <w:jc w:val="center"/>
        <w:outlineLvl w:val="1"/>
      </w:pPr>
      <w:r>
        <w:t xml:space="preserve">2. Цель, задачи Программы и механизмы их решения</w:t>
      </w:r>
      <w:r/>
    </w:p>
    <w:p>
      <w:pPr>
        <w:pStyle w:val="621"/>
        <w:jc w:val="both"/>
      </w:pPr>
      <w:r/>
      <w:r/>
    </w:p>
    <w:p>
      <w:pPr>
        <w:pStyle w:val="621"/>
        <w:ind w:firstLine="540"/>
        <w:jc w:val="both"/>
      </w:pPr>
      <w:r>
        <w:t xml:space="preserve">Цель Программы - обеспечение сбалансированности бюджета Краснодарского края.</w:t>
      </w:r>
      <w:r/>
    </w:p>
    <w:p>
      <w:pPr>
        <w:pStyle w:val="621"/>
        <w:ind w:firstLine="540"/>
        <w:jc w:val="both"/>
        <w:spacing w:before="220"/>
      </w:pPr>
      <w:r>
        <w:t xml:space="preserve">Задачи Программы:</w:t>
      </w:r>
      <w:r/>
    </w:p>
    <w:p>
      <w:pPr>
        <w:pStyle w:val="621"/>
        <w:ind w:firstLine="540"/>
        <w:jc w:val="both"/>
        <w:spacing w:before="220"/>
      </w:pPr>
      <w:r>
        <w:t xml:space="preserve">развитие доходного потенциала консолидированного бюджета Краснодарского края;</w:t>
      </w:r>
      <w:r/>
    </w:p>
    <w:p>
      <w:pPr>
        <w:pStyle w:val="621"/>
        <w:ind w:firstLine="540"/>
        <w:jc w:val="both"/>
        <w:spacing w:before="220"/>
      </w:pPr>
      <w:r>
        <w:t xml:space="preserve">оптимизация расходов на содержание бюджетной сети;</w:t>
      </w:r>
      <w:r/>
    </w:p>
    <w:p>
      <w:pPr>
        <w:pStyle w:val="621"/>
        <w:ind w:firstLine="540"/>
        <w:jc w:val="both"/>
        <w:spacing w:before="220"/>
      </w:pPr>
      <w:r>
        <w:t xml:space="preserve">повышение эффективности мер социальной поддержки граждан;</w:t>
      </w:r>
      <w:r/>
    </w:p>
    <w:p>
      <w:pPr>
        <w:pStyle w:val="621"/>
        <w:ind w:firstLine="540"/>
        <w:jc w:val="both"/>
        <w:spacing w:before="220"/>
      </w:pPr>
      <w:r>
        <w:t xml:space="preserve">оптимизация инвестиционных расходов;</w:t>
      </w:r>
      <w:r/>
    </w:p>
    <w:p>
      <w:pPr>
        <w:pStyle w:val="621"/>
        <w:ind w:firstLine="540"/>
        <w:jc w:val="both"/>
        <w:spacing w:before="220"/>
      </w:pPr>
      <w:r>
        <w:t xml:space="preserve">повышение эффективности государственных (муниципальных) закупок;</w:t>
      </w:r>
      <w:r/>
    </w:p>
    <w:p>
      <w:pPr>
        <w:pStyle w:val="621"/>
        <w:ind w:firstLine="540"/>
        <w:jc w:val="both"/>
        <w:spacing w:before="220"/>
      </w:pPr>
      <w:r>
        <w:t xml:space="preserve">сокращение (недопущение возникновения) просроченной кредиторской задолженности;</w:t>
      </w:r>
      <w:r/>
    </w:p>
    <w:p>
      <w:pPr>
        <w:pStyle w:val="621"/>
        <w:ind w:firstLine="540"/>
        <w:jc w:val="both"/>
        <w:spacing w:before="220"/>
      </w:pPr>
      <w:r>
        <w:t xml:space="preserve">совершенствование межбюджетных отношений;</w:t>
      </w:r>
      <w:r/>
    </w:p>
    <w:p>
      <w:pPr>
        <w:pStyle w:val="621"/>
        <w:ind w:firstLine="540"/>
        <w:jc w:val="both"/>
        <w:spacing w:before="220"/>
      </w:pPr>
      <w:r>
        <w:t xml:space="preserve">оптимизация структуры и уровня государственного долга.</w:t>
      </w:r>
      <w:r/>
    </w:p>
    <w:p>
      <w:pPr>
        <w:pStyle w:val="621"/>
        <w:ind w:firstLine="540"/>
        <w:jc w:val="both"/>
        <w:spacing w:before="220"/>
      </w:pPr>
      <w:r>
        <w:t xml:space="preserve">Мероприятия по реализации указанных задач отражены в </w:t>
      </w:r>
      <w:hyperlink w:tooltip="#P133" w:anchor="P133" w:history="1">
        <w:r>
          <w:rPr>
            <w:color w:val="0000ff"/>
          </w:rPr>
          <w:t xml:space="preserve">Плане</w:t>
        </w:r>
      </w:hyperlink>
      <w:r>
        <w:t xml:space="preserve"> мероприятий по реализации Программы (приложение).</w:t>
      </w:r>
      <w:r/>
    </w:p>
    <w:p>
      <w:pPr>
        <w:pStyle w:val="621"/>
        <w:jc w:val="both"/>
      </w:pPr>
      <w:r/>
      <w:r/>
    </w:p>
    <w:p>
      <w:pPr>
        <w:pStyle w:val="623"/>
        <w:jc w:val="center"/>
        <w:outlineLvl w:val="1"/>
      </w:pPr>
      <w:r>
        <w:t xml:space="preserve">3. Ожидаемые результаты реализации Программы</w:t>
      </w:r>
      <w:r/>
    </w:p>
    <w:p>
      <w:pPr>
        <w:pStyle w:val="621"/>
        <w:jc w:val="both"/>
      </w:pPr>
      <w:r/>
      <w:r/>
    </w:p>
    <w:p>
      <w:pPr>
        <w:pStyle w:val="621"/>
        <w:ind w:firstLine="540"/>
        <w:jc w:val="both"/>
      </w:pPr>
      <w:r>
        <w:t xml:space="preserve">Ожидаемыми результатами реализации Программы являются:</w:t>
      </w:r>
      <w:r/>
    </w:p>
    <w:p>
      <w:pPr>
        <w:pStyle w:val="621"/>
        <w:ind w:firstLine="540"/>
        <w:jc w:val="both"/>
        <w:spacing w:before="220"/>
      </w:pPr>
      <w:r>
        <w:t xml:space="preserve">обеспечение сбалансированности бюджета Краснодарского края;</w:t>
      </w:r>
      <w:r/>
    </w:p>
    <w:p>
      <w:pPr>
        <w:pStyle w:val="621"/>
        <w:ind w:firstLine="540"/>
        <w:jc w:val="both"/>
        <w:spacing w:before="220"/>
      </w:pPr>
      <w:r>
        <w:t xml:space="preserve">повышение эффективности бюджетных расходов;</w:t>
      </w:r>
      <w:r/>
    </w:p>
    <w:p>
      <w:pPr>
        <w:pStyle w:val="621"/>
        <w:ind w:firstLine="540"/>
        <w:jc w:val="both"/>
        <w:spacing w:before="220"/>
      </w:pPr>
      <w:r>
        <w:t xml:space="preserve">отнесение Краснодарского края к субъектам Российской Федерации с уровнем долговой устойчивости не ниже среднего уровня по результатам оценки долговой устойчивости, проводимой Министерством финансов Российской Федерации.</w:t>
      </w:r>
      <w:r/>
    </w:p>
    <w:p>
      <w:pPr>
        <w:pStyle w:val="621"/>
        <w:jc w:val="both"/>
      </w:pPr>
      <w:r/>
      <w:r/>
    </w:p>
    <w:p>
      <w:pPr>
        <w:pStyle w:val="623"/>
        <w:jc w:val="center"/>
        <w:outlineLvl w:val="1"/>
      </w:pPr>
      <w:r>
        <w:t xml:space="preserve">4. Оценка эффективности реализации Программы</w:t>
      </w:r>
      <w:r/>
    </w:p>
    <w:p>
      <w:pPr>
        <w:pStyle w:val="621"/>
        <w:jc w:val="both"/>
      </w:pPr>
      <w:r/>
      <w:r/>
    </w:p>
    <w:p>
      <w:pPr>
        <w:pStyle w:val="621"/>
        <w:ind w:firstLine="540"/>
        <w:jc w:val="both"/>
      </w:pPr>
      <w:r>
        <w:t xml:space="preserve">Оценка эффективности реализации Программы проводится по итогам ее реализации за отчетный финансовый год.</w:t>
      </w:r>
      <w:r/>
    </w:p>
    <w:p>
      <w:pPr>
        <w:pStyle w:val="621"/>
        <w:ind w:firstLine="540"/>
        <w:jc w:val="both"/>
        <w:spacing w:before="220"/>
      </w:pPr>
      <w:r>
        <w:t xml:space="preserve">Критерием эффективности реализации Программы являе</w:t>
      </w:r>
      <w:r>
        <w:t xml:space="preserve">тся достижение бюджетного эффекта от реализации Плана мероприятий по реализации Программы, определяемое как отношение фактического объема бюджетного эффекта к плановому объему бюджетного эффекта, предусмотренному Планом мероприятий по реализации Программы.</w:t>
      </w:r>
      <w:r/>
    </w:p>
    <w:p>
      <w:pPr>
        <w:pStyle w:val="621"/>
        <w:jc w:val="both"/>
      </w:pPr>
      <w:r/>
      <w:r/>
    </w:p>
    <w:p>
      <w:pPr>
        <w:pStyle w:val="623"/>
        <w:jc w:val="center"/>
        <w:outlineLvl w:val="1"/>
      </w:pPr>
      <w:r>
        <w:t xml:space="preserve">5. Риски реализации Программы</w:t>
      </w:r>
      <w:r/>
    </w:p>
    <w:p>
      <w:pPr>
        <w:pStyle w:val="621"/>
        <w:jc w:val="both"/>
      </w:pPr>
      <w:r/>
      <w:r/>
    </w:p>
    <w:p>
      <w:pPr>
        <w:pStyle w:val="621"/>
        <w:ind w:firstLine="540"/>
        <w:jc w:val="both"/>
      </w:pPr>
      <w:r>
        <w:t xml:space="preserve">Оценка рисков реализации Программы представлена в таблице.</w:t>
      </w:r>
      <w:r/>
    </w:p>
    <w:p>
      <w:pPr>
        <w:pStyle w:val="621"/>
        <w:jc w:val="both"/>
      </w:pPr>
      <w:r/>
      <w:r/>
    </w:p>
    <w:p>
      <w:pPr>
        <w:pStyle w:val="621"/>
        <w:jc w:val="right"/>
      </w:pPr>
      <w:r>
        <w:t xml:space="preserve">Таблица</w:t>
      </w:r>
      <w:r/>
    </w:p>
    <w:p>
      <w:pPr>
        <w:pStyle w:val="621"/>
        <w:jc w:val="both"/>
      </w:pPr>
      <w:r/>
      <w:r/>
    </w:p>
    <w:p>
      <w:pPr>
        <w:pStyle w:val="621"/>
        <w:jc w:val="center"/>
      </w:pPr>
      <w:r>
        <w:t xml:space="preserve">Оценка рисков реализации Программы</w:t>
      </w:r>
      <w:r/>
    </w:p>
    <w:p>
      <w:pPr>
        <w:pStyle w:val="621"/>
        <w:jc w:val="both"/>
      </w:pPr>
      <w:r/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6917"/>
        <w:gridCol w:w="2098"/>
      </w:tblGrid>
      <w:tr>
        <w:tblPrEx/>
        <w:trPr/>
        <w:tc>
          <w:tcPr>
            <w:tcW w:w="691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Вид риска</w:t>
            </w:r>
            <w:r/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Оценка риска (вероятность его возникновения)</w:t>
            </w:r>
            <w:r/>
          </w:p>
        </w:tc>
      </w:tr>
      <w:tr>
        <w:tblPrEx/>
        <w:trPr/>
        <w:tc>
          <w:tcPr>
            <w:tcW w:w="691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</w:t>
            </w:r>
            <w:r/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</w:t>
            </w:r>
            <w:r/>
          </w:p>
        </w:tc>
      </w:tr>
      <w:tr>
        <w:tblPrEx/>
        <w:trPr/>
        <w:tc>
          <w:tcPr>
            <w:tcW w:w="6917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Макроэкономический риск, обусловленный изменением макроэкономической ситуации, возмо</w:t>
            </w:r>
            <w:r>
              <w:t xml:space="preserve">жным увеличением расходов бюджета Краснодарского края вследствие инфляционных процессов, роста тарифов на услуги жилищно-коммунального хозяйства и естественных монополий, реализации мероприятий, связанных с ликвидацией последствий чрезвычайных ситуаций, и </w:t>
            </w:r>
            <w:r>
              <w:t xml:space="preserve">другое</w:t>
            </w:r>
            <w:r/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допустимый риск</w:t>
            </w:r>
            <w:r/>
          </w:p>
        </w:tc>
      </w:tr>
      <w:tr>
        <w:tblPrEx/>
        <w:trPr/>
        <w:tc>
          <w:tcPr>
            <w:tcW w:w="6917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Законодательный риск, обусловленный изменениями законодательства Российской Федерации (изменение баланса полномочий и (или) финансовых потоков между уровнями бюджетов и другое)</w:t>
            </w:r>
            <w:r/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допустимый риск</w:t>
            </w:r>
            <w:r/>
          </w:p>
        </w:tc>
      </w:tr>
      <w:tr>
        <w:tblPrEx/>
        <w:trPr/>
        <w:tc>
          <w:tcPr>
            <w:tcW w:w="6917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Организационный риск, обусловленный возможным невыполнением мероприятий Программы в связи с организационными факторами (рост потребности в государственных услугах, изменение численности получателей государственных услуг и другое)</w:t>
            </w:r>
            <w:r/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допустимый риск</w:t>
            </w:r>
            <w:r/>
          </w:p>
        </w:tc>
      </w:tr>
    </w:tbl>
    <w:p>
      <w:pPr>
        <w:pStyle w:val="621"/>
        <w:jc w:val="both"/>
      </w:pPr>
      <w:r/>
      <w:r/>
    </w:p>
    <w:p>
      <w:pPr>
        <w:pStyle w:val="621"/>
        <w:jc w:val="right"/>
      </w:pPr>
      <w:r>
        <w:t xml:space="preserve">Министр финансов</w:t>
      </w:r>
      <w:r/>
    </w:p>
    <w:p>
      <w:pPr>
        <w:pStyle w:val="621"/>
        <w:jc w:val="right"/>
      </w:pPr>
      <w:r>
        <w:t xml:space="preserve">Краснодарского края</w:t>
      </w:r>
      <w:r/>
    </w:p>
    <w:p>
      <w:pPr>
        <w:pStyle w:val="621"/>
        <w:jc w:val="right"/>
      </w:pPr>
      <w:r>
        <w:t xml:space="preserve">А.В.КНЫШОВ</w:t>
      </w:r>
      <w:r/>
    </w:p>
    <w:p>
      <w:pPr>
        <w:pStyle w:val="621"/>
        <w:jc w:val="both"/>
      </w:pPr>
      <w:r/>
      <w:r/>
    </w:p>
    <w:p>
      <w:pPr>
        <w:pStyle w:val="621"/>
        <w:jc w:val="both"/>
      </w:pPr>
      <w:r/>
      <w:r/>
    </w:p>
    <w:p>
      <w:pPr>
        <w:pStyle w:val="621"/>
        <w:jc w:val="both"/>
      </w:pPr>
      <w:r/>
      <w:r/>
    </w:p>
    <w:p>
      <w:pPr>
        <w:pStyle w:val="621"/>
        <w:jc w:val="both"/>
      </w:pPr>
      <w:r/>
      <w:r/>
    </w:p>
    <w:p>
      <w:pPr>
        <w:pStyle w:val="621"/>
        <w:jc w:val="both"/>
      </w:pPr>
      <w:r/>
      <w:r/>
    </w:p>
    <w:p>
      <w:pPr>
        <w:pStyle w:val="621"/>
        <w:jc w:val="right"/>
        <w:outlineLvl w:val="1"/>
      </w:pPr>
      <w:r>
        <w:t xml:space="preserve">Приложение</w:t>
      </w:r>
      <w:r/>
    </w:p>
    <w:p>
      <w:pPr>
        <w:pStyle w:val="621"/>
        <w:jc w:val="right"/>
      </w:pPr>
      <w:r>
        <w:t xml:space="preserve">к Программе</w:t>
      </w:r>
      <w:r/>
    </w:p>
    <w:p>
      <w:pPr>
        <w:pStyle w:val="621"/>
        <w:jc w:val="right"/>
      </w:pPr>
      <w:r>
        <w:t xml:space="preserve">оздоровления государственных финансов</w:t>
      </w:r>
      <w:r/>
    </w:p>
    <w:p>
      <w:pPr>
        <w:pStyle w:val="621"/>
        <w:jc w:val="right"/>
      </w:pPr>
      <w:r>
        <w:t xml:space="preserve">Краснодарского края</w:t>
      </w:r>
      <w:r/>
    </w:p>
    <w:p>
      <w:pPr>
        <w:pStyle w:val="621"/>
        <w:jc w:val="both"/>
      </w:pPr>
      <w:r/>
      <w:r/>
    </w:p>
    <w:p>
      <w:pPr>
        <w:pStyle w:val="623"/>
        <w:jc w:val="center"/>
      </w:pPr>
      <w:r/>
      <w:bookmarkStart w:id="1" w:name="P133"/>
      <w:r/>
      <w:bookmarkEnd w:id="1"/>
      <w:r>
        <w:t xml:space="preserve">ПЛАН</w:t>
      </w:r>
      <w:r/>
    </w:p>
    <w:p>
      <w:pPr>
        <w:pStyle w:val="623"/>
        <w:jc w:val="center"/>
      </w:pPr>
      <w:r>
        <w:t xml:space="preserve">МЕРОПРИЯТИЙ ПО РЕАЛИЗАЦИИ ПРОГРАММЫ ОЗДОРОВЛЕНИЯ</w:t>
      </w:r>
      <w:r/>
    </w:p>
    <w:p>
      <w:pPr>
        <w:pStyle w:val="623"/>
        <w:jc w:val="center"/>
      </w:pPr>
      <w:r>
        <w:t xml:space="preserve">ГОСУДАРСТВЕННЫХ ФИНАНСОВ КРАСНОДАРСКОГО КРАЯ</w:t>
      </w:r>
      <w:r/>
    </w:p>
    <w:p>
      <w:pPr>
        <w:pStyle w:val="621"/>
        <w:jc w:val="both"/>
      </w:pPr>
      <w:r/>
      <w:r/>
    </w:p>
    <w:p>
      <w:pPr>
        <w:pStyle w:val="621"/>
        <w:sectPr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/>
      <w:r/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512"/>
        <w:gridCol w:w="2074"/>
        <w:gridCol w:w="1562"/>
        <w:gridCol w:w="1437"/>
        <w:gridCol w:w="1861"/>
        <w:gridCol w:w="801"/>
        <w:gridCol w:w="801"/>
        <w:gridCol w:w="801"/>
        <w:gridCol w:w="898"/>
        <w:gridCol w:w="1861"/>
        <w:gridCol w:w="898"/>
        <w:gridCol w:w="801"/>
        <w:gridCol w:w="1861"/>
      </w:tblGrid>
      <w:tr>
        <w:tblPrEx/>
        <w:trPr/>
        <w:tc>
          <w:tcPr>
            <w:tcW w:w="737" w:type="dxa"/>
            <w:vMerge w:val="restart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N </w:t>
            </w:r>
            <w:r>
              <w:t xml:space="preserve">п</w:t>
            </w:r>
            <w:r>
              <w:t xml:space="preserve">/п</w:t>
            </w:r>
            <w:r/>
          </w:p>
        </w:tc>
        <w:tc>
          <w:tcPr>
            <w:tcW w:w="2154" w:type="dxa"/>
            <w:vMerge w:val="restart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Наименование мероприятия</w:t>
            </w:r>
            <w:r/>
          </w:p>
        </w:tc>
        <w:tc>
          <w:tcPr>
            <w:tcW w:w="1871" w:type="dxa"/>
            <w:vMerge w:val="restart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Ответственный исполнитель</w:t>
            </w:r>
            <w:r/>
          </w:p>
        </w:tc>
        <w:tc>
          <w:tcPr>
            <w:tcW w:w="1474" w:type="dxa"/>
            <w:vMerge w:val="restart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Срок реализации</w:t>
            </w:r>
            <w:r/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Целевой показатель</w:t>
            </w:r>
            <w:r/>
          </w:p>
        </w:tc>
        <w:tc>
          <w:tcPr>
            <w:gridSpan w:val="8"/>
            <w:tcW w:w="9015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Оценка бюджетного эффекта </w:t>
            </w:r>
            <w:hyperlink w:tooltip="#P696" w:anchor="P69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</w:tr>
      <w:tr>
        <w:tblPrEx/>
        <w:trPr>
          <w:trHeight w:val="269"/>
        </w:trPr>
        <w:tc>
          <w:tcPr>
            <w:tcW w:w="0" w:type="auto"/>
            <w:vMerge w:val="continue"/>
            <w:textDirection w:val="lrTb"/>
            <w:noWrap w:val="false"/>
          </w:tcPr>
          <w:p>
            <w:pPr>
              <w:pStyle w:val="621"/>
            </w:pPr>
            <w:r/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pPr>
              <w:pStyle w:val="621"/>
            </w:pPr>
            <w:r/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pPr>
              <w:pStyle w:val="621"/>
            </w:pPr>
            <w:r/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pPr>
              <w:pStyle w:val="621"/>
            </w:pPr>
            <w:r/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pPr>
              <w:pStyle w:val="621"/>
            </w:pPr>
            <w:r/>
            <w:r/>
          </w:p>
        </w:tc>
        <w:tc>
          <w:tcPr>
            <w:gridSpan w:val="4"/>
            <w:tcW w:w="4422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2026 год</w:t>
            </w:r>
            <w:r/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2027 год</w:t>
            </w:r>
            <w:r/>
          </w:p>
        </w:tc>
        <w:tc>
          <w:tcPr>
            <w:tcW w:w="1119" w:type="dxa"/>
            <w:vMerge w:val="restart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2028 год</w:t>
            </w:r>
            <w:r/>
          </w:p>
        </w:tc>
        <w:tc>
          <w:tcPr>
            <w:tcW w:w="1149" w:type="dxa"/>
            <w:vMerge w:val="restart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2029 год</w:t>
            </w:r>
            <w:r/>
          </w:p>
        </w:tc>
        <w:tc>
          <w:tcPr>
            <w:tcW w:w="1191" w:type="dxa"/>
            <w:vMerge w:val="restart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итого за 2026 - 2029 годы</w:t>
            </w:r>
            <w:r/>
          </w:p>
        </w:tc>
      </w:tr>
      <w:tr>
        <w:tblPrEx/>
        <w:trPr/>
        <w:tc>
          <w:tcPr>
            <w:tcW w:w="0" w:type="auto"/>
            <w:vMerge w:val="continue"/>
            <w:textDirection w:val="lrTb"/>
            <w:noWrap w:val="false"/>
          </w:tcPr>
          <w:p>
            <w:pPr>
              <w:pStyle w:val="621"/>
            </w:pPr>
            <w:r/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pPr>
              <w:pStyle w:val="621"/>
            </w:pPr>
            <w:r/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pPr>
              <w:pStyle w:val="621"/>
            </w:pPr>
            <w:r/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pPr>
              <w:pStyle w:val="621"/>
            </w:pPr>
            <w:r/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pPr>
              <w:pStyle w:val="621"/>
            </w:pPr>
            <w:r/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I квартал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II квартал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III квартал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IV квартал</w:t>
            </w:r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pPr>
              <w:pStyle w:val="621"/>
            </w:pPr>
            <w:r/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pPr>
              <w:pStyle w:val="621"/>
            </w:pPr>
            <w:r/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pPr>
              <w:pStyle w:val="621"/>
            </w:pPr>
            <w:r/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pPr>
              <w:pStyle w:val="621"/>
            </w:pPr>
            <w:r/>
            <w:r/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1.1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Проведение мероприятий по легализации теневой занятости и налогообложению доходов граждан</w:t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органы местного самоуправления муниципальных образований Краснодарского края (по согласованию); органы исполнительной власти Краснодарского края; Управление Федеральной налоговой службы по Краснодарскому краю (по согласованию)</w:t>
            </w:r>
            <w:r/>
          </w:p>
        </w:tc>
        <w:tc>
          <w:tcPr>
            <w:tcW w:w="147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2026 - 2029 годы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сумма налога на доходы физических лиц, поступившая в консолидированный бюджет Краснодарского края в результате проведенных мероприятий, тыс. рублей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358400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383500</w:t>
            </w:r>
            <w:r/>
          </w:p>
        </w:tc>
        <w:tc>
          <w:tcPr>
            <w:tcW w:w="111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410300</w:t>
            </w:r>
            <w:r/>
          </w:p>
        </w:tc>
        <w:tc>
          <w:tcPr>
            <w:tcW w:w="114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439000</w:t>
            </w:r>
            <w:r/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1591200</w:t>
            </w:r>
            <w:r/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1.2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Проведение </w:t>
            </w:r>
            <w:r>
              <w:t xml:space="preserve">мероприятий, направленных на легализацию налоговой базы по налогу на прибыль организаций и налогу, взимаемому в связи с применением упрощенной системы налогообложения</w:t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Управление </w:t>
            </w:r>
            <w:r>
              <w:t xml:space="preserve">Федеральной налоговой службы по Краснодарскому краю (по согласованию)</w:t>
            </w:r>
            <w:r/>
          </w:p>
        </w:tc>
        <w:tc>
          <w:tcPr>
            <w:tcW w:w="147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2026 - 2029 </w:t>
            </w:r>
            <w:r>
              <w:t xml:space="preserve">годы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сумма налогов, </w:t>
            </w:r>
            <w:r>
              <w:t xml:space="preserve">поступившая в консолидированный бюджет Краснодарского края, тыс. рублей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140000</w:t>
            </w:r>
            <w:r>
              <w:t xml:space="preserve">0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1000000</w:t>
            </w:r>
            <w:r/>
          </w:p>
        </w:tc>
        <w:tc>
          <w:tcPr>
            <w:tcW w:w="111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800000</w:t>
            </w:r>
            <w:r/>
          </w:p>
        </w:tc>
        <w:tc>
          <w:tcPr>
            <w:tcW w:w="114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600000</w:t>
            </w:r>
            <w:r/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3800000</w:t>
            </w:r>
            <w:r/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1.3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</w:t>
            </w:r>
            <w:r>
              <w:t xml:space="preserve">роведение мероприятий, направленных на информационно-разъяснительную работу с населением, оказывающим услуги на дому, реализующим товары собственного производства, выполняющим работы и оказывающим услуги без привлечения наемных работников, о необходимости </w:t>
            </w:r>
            <w:r>
              <w:t xml:space="preserve">регистрации в качестве плательщиков налога на профессиональный доход</w:t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Управление Федеральной налоговой службы по Краснодарскому краю (по согласованию)</w:t>
            </w:r>
            <w:r/>
          </w:p>
        </w:tc>
        <w:tc>
          <w:tcPr>
            <w:tcW w:w="147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2026 - 2029 годы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сумма прироста поступления доходов от налога на профессиональный доход, тыс. рублей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1000000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800000</w:t>
            </w:r>
            <w:r/>
          </w:p>
        </w:tc>
        <w:tc>
          <w:tcPr>
            <w:tcW w:w="111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600000</w:t>
            </w:r>
            <w:r/>
          </w:p>
        </w:tc>
        <w:tc>
          <w:tcPr>
            <w:tcW w:w="1149" w:type="dxa"/>
            <w:textDirection w:val="lrTb"/>
            <w:noWrap w:val="false"/>
          </w:tcPr>
          <w:p>
            <w:pPr>
              <w:pStyle w:val="621"/>
            </w:pPr>
            <w:r/>
            <w:r/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2400000</w:t>
            </w:r>
            <w:r/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1.4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Проведение мероприятий по выявлению средств размещения, сведения о которых не включены в единый реестр объектов классификации в сфере туристской индустрии</w:t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министерство курортов, туризма и олимпийского наследия Краснодарского края;</w:t>
            </w:r>
            <w:r/>
          </w:p>
          <w:p>
            <w:pPr>
              <w:pStyle w:val="621"/>
              <w:jc w:val="both"/>
            </w:pPr>
            <w:r>
              <w:t xml:space="preserve">органы местного самоуправления муниципальных образований Краснодарского края (по согласованию); Управление Федеральной налоговой службы по Краснодарскому краю (по согласованию)</w:t>
            </w:r>
            <w:r/>
          </w:p>
        </w:tc>
        <w:tc>
          <w:tcPr>
            <w:tcW w:w="147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2026 - 2029 годы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дополнительно исчисленная сумма туристического налога, тыс. рублей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105000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93000</w:t>
            </w:r>
            <w:r/>
          </w:p>
        </w:tc>
        <w:tc>
          <w:tcPr>
            <w:tcW w:w="111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56000</w:t>
            </w:r>
            <w:r/>
          </w:p>
        </w:tc>
        <w:tc>
          <w:tcPr>
            <w:tcW w:w="114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31000</w:t>
            </w:r>
            <w:r/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285000</w:t>
            </w:r>
            <w:r/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1.5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Проведение мероприятий по постановке на </w:t>
            </w:r>
            <w:r>
              <w:t xml:space="preserve">налоговый учет обособленных подразделений организаций, зарегистрированных за пределами Краснодарского края</w:t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Управление Федеральной налоговой </w:t>
            </w:r>
            <w:r>
              <w:t xml:space="preserve">службы по Краснодарскому краю (по согласованию); органы исполнительной власти Краснодарского края;</w:t>
            </w:r>
            <w:r/>
          </w:p>
          <w:p>
            <w:pPr>
              <w:pStyle w:val="621"/>
              <w:jc w:val="both"/>
            </w:pPr>
            <w:r>
              <w:t xml:space="preserve">органы местного самоуправления муниципальных образований Краснодарского края (по согласованию)</w:t>
            </w:r>
            <w:r/>
          </w:p>
        </w:tc>
        <w:tc>
          <w:tcPr>
            <w:tcW w:w="147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2026 - 2029 годы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сумма налога на доходы физических лиц, </w:t>
            </w:r>
            <w:r>
              <w:t xml:space="preserve">поступившая в консолидированный бюджет Краснодарского края, тыс. рублей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25000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25000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50000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50000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150000</w:t>
            </w:r>
            <w:r/>
          </w:p>
        </w:tc>
        <w:tc>
          <w:tcPr>
            <w:tcW w:w="111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150000</w:t>
            </w:r>
            <w:r/>
          </w:p>
        </w:tc>
        <w:tc>
          <w:tcPr>
            <w:tcW w:w="114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150000</w:t>
            </w:r>
            <w:r/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600000</w:t>
            </w:r>
            <w:r/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1.6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Проведение мероприятий по применению повышающих коэффициентов при расчете земельного налога по земельным участкам, предназначенным для жилищного строительства, индивидуального жилищного строительства, в </w:t>
            </w:r>
            <w:r>
              <w:t xml:space="preserve">порядке, предусмотренном </w:t>
            </w:r>
            <w:hyperlink r:id="rId11" w:tooltip="https://login.consultant.ru/link/?req=doc&amp;base=LAW&amp;n=532972&amp;dst=28405" w:history="1">
              <w:r>
                <w:rPr>
                  <w:color w:val="0000ff"/>
                </w:rPr>
                <w:t xml:space="preserve">пунктами 15</w:t>
              </w:r>
            </w:hyperlink>
            <w:r>
              <w:t xml:space="preserve">, </w:t>
            </w:r>
            <w:hyperlink r:id="rId12" w:tooltip="https://login.consultant.ru/link/?req=doc&amp;base=LAW&amp;n=532972&amp;dst=28408" w:history="1">
              <w:r>
                <w:rPr>
                  <w:color w:val="0000ff"/>
                </w:rPr>
                <w:t xml:space="preserve">16 статьи 396</w:t>
              </w:r>
            </w:hyperlink>
            <w:r>
              <w:t xml:space="preserve"> Налогового кодекса Российской Федерации</w:t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Управление Федеральной налоговой службы по Краснодарскому краю (по согласованию)</w:t>
            </w:r>
            <w:r/>
          </w:p>
        </w:tc>
        <w:tc>
          <w:tcPr>
            <w:tcW w:w="147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2026 - 2029 годы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сумма земельного налога, дополнительно исчисленная в результате проведенных мероприятий, тыс. рублей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800000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800000</w:t>
            </w:r>
            <w:r/>
          </w:p>
        </w:tc>
        <w:tc>
          <w:tcPr>
            <w:tcW w:w="111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800000</w:t>
            </w:r>
            <w:r/>
          </w:p>
        </w:tc>
        <w:tc>
          <w:tcPr>
            <w:tcW w:w="114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800000</w:t>
            </w:r>
            <w:r/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3200000</w:t>
            </w:r>
            <w:r/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1.7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Проведение мероприятий, направленных на вовлечение в оборот неиспользуемых (используемых без правоустанавливающих документов) земельных участков</w:t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департамент имущественных отношений Краснодарского края;</w:t>
            </w:r>
            <w:r/>
          </w:p>
          <w:p>
            <w:pPr>
              <w:pStyle w:val="621"/>
              <w:jc w:val="both"/>
            </w:pPr>
            <w:r>
              <w:t xml:space="preserve">органы местного самоуправления муниципальных образований Краснодарского края (по согласованию)</w:t>
            </w:r>
            <w:r/>
          </w:p>
        </w:tc>
        <w:tc>
          <w:tcPr>
            <w:tcW w:w="147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2026 - 2029 годы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сумма неналоговых доходов, поступившая в консолидированный бюджет Краснодарского края, тыс. рублей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800000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800000</w:t>
            </w:r>
            <w:r/>
          </w:p>
        </w:tc>
        <w:tc>
          <w:tcPr>
            <w:tcW w:w="111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800000</w:t>
            </w:r>
            <w:r/>
          </w:p>
        </w:tc>
        <w:tc>
          <w:tcPr>
            <w:tcW w:w="114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800000</w:t>
            </w:r>
            <w:r/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3200000</w:t>
            </w:r>
            <w:r/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1.8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Проведение мероприятий, направленных на снижение задолженности по неналоговым доходам</w:t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департамент имущественных отношений Краснодарского края;</w:t>
            </w:r>
            <w:r/>
          </w:p>
          <w:p>
            <w:pPr>
              <w:pStyle w:val="621"/>
              <w:jc w:val="both"/>
            </w:pPr>
            <w:r>
              <w:t xml:space="preserve">органы местного самоуправления муниципальных образований </w:t>
            </w:r>
            <w:r>
              <w:t xml:space="preserve">Краснодарского края (по согласованию)</w:t>
            </w:r>
            <w:r/>
          </w:p>
        </w:tc>
        <w:tc>
          <w:tcPr>
            <w:tcW w:w="147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2026 - 2029 годы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сумма неналоговых доходов, поступившая в консолидированный бюджет Краснодарского края в связи с погашением задолженности прошлых лет, тыс. </w:t>
            </w:r>
            <w:r>
              <w:t xml:space="preserve">рублей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100000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60000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317000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223000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250000</w:t>
            </w:r>
            <w:r/>
          </w:p>
        </w:tc>
        <w:tc>
          <w:tcPr>
            <w:tcW w:w="111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200000</w:t>
            </w:r>
            <w:r/>
          </w:p>
        </w:tc>
        <w:tc>
          <w:tcPr>
            <w:tcW w:w="114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150000</w:t>
            </w:r>
            <w:r/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1300000</w:t>
            </w:r>
            <w:r/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1.9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Проведение мероприятий, направленных на эффективное управление и распоряжение имуществом Краснодарского края и муниципальным имуществом</w:t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департамент имущественных отношений Краснодарского края;</w:t>
            </w:r>
            <w:r/>
          </w:p>
          <w:p>
            <w:pPr>
              <w:pStyle w:val="621"/>
              <w:jc w:val="both"/>
            </w:pPr>
            <w:r>
              <w:t xml:space="preserve">органы исполнительной власти Краснодарского края;</w:t>
            </w:r>
            <w:r/>
          </w:p>
          <w:p>
            <w:pPr>
              <w:pStyle w:val="621"/>
              <w:jc w:val="both"/>
            </w:pPr>
            <w:r>
              <w:t xml:space="preserve">органы местного самоуправления муниципальных образований Краснодарского края (по согласованию)</w:t>
            </w:r>
            <w:r/>
          </w:p>
        </w:tc>
        <w:tc>
          <w:tcPr>
            <w:tcW w:w="147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2026 - 2029 годы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сумма неналоговых доходов, поступившая в консолидированный бюджет Краснодарского края, тыс. рублей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100000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84000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184000</w:t>
            </w:r>
            <w:r/>
          </w:p>
        </w:tc>
        <w:tc>
          <w:tcPr>
            <w:tcW w:w="111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184000</w:t>
            </w:r>
            <w:r/>
          </w:p>
        </w:tc>
        <w:tc>
          <w:tcPr>
            <w:tcW w:w="114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184000</w:t>
            </w:r>
            <w:r/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736000</w:t>
            </w:r>
            <w:r/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1.10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Отмена неэффективных налоговых льгот (по налогу на имущество организаций и налогу на прибыль организаций)</w:t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органы исполнительной власти Краснодарского края - кураторы налоговых расходов Краснодарского края</w:t>
            </w:r>
            <w:r/>
          </w:p>
        </w:tc>
        <w:tc>
          <w:tcPr>
            <w:tcW w:w="147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ежегодно по результатам оценки эффективности налоговых расходов Краснодарского края</w:t>
            </w:r>
            <w:r/>
          </w:p>
        </w:tc>
        <w:tc>
          <w:tcPr>
            <w:gridSpan w:val="9"/>
            <w:tcW w:w="10716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сокращение потерь бюджета Краснодарского края от неэффективных налоговых льгот</w:t>
            </w:r>
            <w:r/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1.11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Повышение ставок по региональным и местным налогам</w:t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министерство финансов Краснодарского края;</w:t>
            </w:r>
            <w:r/>
          </w:p>
          <w:p>
            <w:pPr>
              <w:pStyle w:val="621"/>
              <w:jc w:val="both"/>
            </w:pPr>
            <w:r>
              <w:t xml:space="preserve">органы исполнительной власти Краснодарского края;</w:t>
            </w:r>
            <w:r/>
          </w:p>
          <w:p>
            <w:pPr>
              <w:pStyle w:val="621"/>
              <w:jc w:val="both"/>
            </w:pPr>
            <w:r>
              <w:t xml:space="preserve">органы местного самоуправления</w:t>
            </w:r>
            <w:r>
              <w:t xml:space="preserve">.</w:t>
            </w:r>
            <w:r>
              <w:t xml:space="preserve"> </w:t>
            </w:r>
            <w:r>
              <w:t xml:space="preserve">м</w:t>
            </w:r>
            <w:r>
              <w:t xml:space="preserve">униципальных образований Краснодарского края (по согласованию)</w:t>
            </w:r>
            <w:r/>
          </w:p>
        </w:tc>
        <w:tc>
          <w:tcPr>
            <w:tcW w:w="147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2026 - 2029 годы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сумма прироста налогов, поступивших в консолидированный бюджет Краснодарского края, тыс. рублей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500000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300000</w:t>
            </w:r>
            <w:r/>
          </w:p>
        </w:tc>
        <w:tc>
          <w:tcPr>
            <w:tcW w:w="111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170000</w:t>
            </w:r>
            <w:r/>
          </w:p>
        </w:tc>
        <w:tc>
          <w:tcPr>
            <w:tcW w:w="114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170000</w:t>
            </w:r>
            <w:r/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1140000</w:t>
            </w:r>
            <w:r/>
          </w:p>
        </w:tc>
      </w:tr>
      <w:tr>
        <w:tblPrEx/>
        <w:trPr/>
        <w:tc>
          <w:tcPr>
            <w:gridSpan w:val="5"/>
            <w:tcW w:w="7937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Итого по разделу 1, тыс. рублей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125000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85000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467000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5320400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4760500</w:t>
            </w:r>
            <w:r/>
          </w:p>
        </w:tc>
        <w:tc>
          <w:tcPr>
            <w:tcW w:w="111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4170300</w:t>
            </w:r>
            <w:r/>
          </w:p>
        </w:tc>
        <w:tc>
          <w:tcPr>
            <w:tcW w:w="114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3324000</w:t>
            </w:r>
            <w:r/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18252200</w:t>
            </w:r>
            <w:r/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621"/>
              <w:jc w:val="center"/>
              <w:outlineLvl w:val="2"/>
            </w:pPr>
            <w:r>
              <w:t xml:space="preserve">2</w:t>
            </w:r>
            <w:r/>
          </w:p>
        </w:tc>
        <w:tc>
          <w:tcPr>
            <w:gridSpan w:val="12"/>
            <w:tcW w:w="16215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Мероприятия по оптимизации расходов бюджета</w:t>
            </w:r>
            <w:r/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621"/>
              <w:jc w:val="center"/>
              <w:outlineLvl w:val="3"/>
            </w:pPr>
            <w:r>
              <w:t xml:space="preserve">2.1</w:t>
            </w:r>
            <w:r/>
          </w:p>
        </w:tc>
        <w:tc>
          <w:tcPr>
            <w:gridSpan w:val="12"/>
            <w:tcW w:w="16215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rPr>
                <w:b/>
                <w:bCs/>
              </w:rPr>
              <w:t xml:space="preserve">Оптимизация расходов на государственное (муниципальное) управление</w:t>
            </w:r>
            <w:r/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2.1.1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Неустановление новых расходных обязатель</w:t>
            </w:r>
            <w:r>
              <w:t xml:space="preserve">ств Кр</w:t>
            </w:r>
            <w:r>
              <w:t xml:space="preserve">аснодарского края, не связанных с решением вопросов, отнесенных </w:t>
            </w:r>
            <w:hyperlink r:id="rId13" w:tooltip="https://login.consultant.ru/link/?req=doc&amp;base=LAW&amp;n=2875" w:history="1">
              <w:r>
                <w:rPr>
                  <w:color w:val="0000ff"/>
                </w:rPr>
                <w:t xml:space="preserve">Конституцией</w:t>
              </w:r>
            </w:hyperlink>
            <w:r>
              <w:t xml:space="preserve"> Российской Федерации и федеральными законами к полномочиям органов государственной власти субъектов Российской Федерации</w:t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органы исполнительной власти Краснодарского края; структурные подразделения </w:t>
            </w:r>
            <w:r>
              <w:t xml:space="preserve">администрации Краснодарского края</w:t>
            </w:r>
            <w:r/>
          </w:p>
        </w:tc>
        <w:tc>
          <w:tcPr>
            <w:tcW w:w="147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2026 - 2029 годы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1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4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2.1.2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Оптимизация системы исполнительных органов Краснодарского края и структуры высшего исполнительного органа Краснодарского края - администрации Краснодарского края</w:t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органы исполнительной власти Краснодарского края; структурные подразделения администрации Краснодарского края</w:t>
            </w:r>
            <w:r/>
          </w:p>
        </w:tc>
        <w:tc>
          <w:tcPr>
            <w:tcW w:w="147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2026 - 2029 годы</w:t>
            </w:r>
            <w:r/>
          </w:p>
        </w:tc>
        <w:tc>
          <w:tcPr>
            <w:gridSpan w:val="9"/>
            <w:tcW w:w="10716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исключение излишних и дублирующих функций исполнительных органов Краснодарского края</w:t>
            </w:r>
            <w:r/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2.1.3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Сокращение штатной численности государственных гражданских служащих Краснодарского </w:t>
            </w:r>
            <w:r>
              <w:t xml:space="preserve">края, работников, замещающих должности, не являющиеся должностями государственной гражданской службы Краснодарского края, муниципальных служащих</w:t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органы исполнительной власти Краснодарского края; структурные подразделени</w:t>
            </w:r>
            <w:r>
              <w:t xml:space="preserve">я администрации Краснодарского края; органы местного самоуправления муниципальных образований Краснодарского края (по согласованию)</w:t>
            </w:r>
            <w:r/>
          </w:p>
        </w:tc>
        <w:tc>
          <w:tcPr>
            <w:tcW w:w="147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2026 год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сокращение расходов консолидированного бюджета Краснодарского края, тыс. рублей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сокращение расходов консолидированного бюджета Краснодарского края </w:t>
            </w:r>
            <w:hyperlink w:tooltip="#P697" w:anchor="P697" w:history="1">
              <w:r>
                <w:rPr>
                  <w:color w:val="0000ff"/>
                </w:rPr>
                <w:t xml:space="preserve">&lt;2&gt;</w:t>
              </w:r>
            </w:hyperlink>
            <w:r/>
            <w:r/>
          </w:p>
        </w:tc>
        <w:tc>
          <w:tcPr>
            <w:tcW w:w="111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4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сокращение расходов консолидированного бюджета Краснодарского края </w:t>
            </w:r>
            <w:hyperlink w:tooltip="#P697" w:anchor="P697" w:history="1">
              <w:r>
                <w:rPr>
                  <w:color w:val="0000ff"/>
                </w:rPr>
                <w:t xml:space="preserve">&lt;2&gt;</w:t>
              </w:r>
            </w:hyperlink>
            <w:r/>
            <w:r/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2.1.4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Сокращение расходов на выплаты в целях возмещения расходов, связанных со служебными командировками, в органах государственной власти Краснодарского края, государственных органах Краснодарского края, государственных казенных учреждениях </w:t>
            </w:r>
            <w:r>
              <w:t xml:space="preserve">Краснодарского края на 50% относительно предусмотренных законом о бюджете Краснодарского края</w:t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органы государственной власти Краснодарского края, государственные органы Краснодарского края (по согласованию)</w:t>
            </w:r>
            <w:r/>
          </w:p>
        </w:tc>
        <w:tc>
          <w:tcPr>
            <w:tcW w:w="147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2026 год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сокращение расходов бюджета Краснодарского края, тыс. рублей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41890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1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4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41890</w:t>
            </w:r>
            <w:r/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2.1.5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Сокращение расходов на закупку товаров, работ, услуг для обеспечения гос</w:t>
            </w:r>
            <w:r>
              <w:t xml:space="preserve">ударственных нужд органами государственной власти Краснодарского края, государственными органами Краснодарского края, государственными казенными учреждениями Краснодарского края (за исключением бюджетных ассигнований на осуществление капитального ремонта, </w:t>
            </w:r>
            <w:r>
              <w:t xml:space="preserve">обеспечение питанием, медикаментами, оплату коммунальных услуг, аренду) на 10% относительно предусмотренных законом о бюджете Краснодарского края</w:t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органы государственной власти Краснодарского края, государственные органы Краснодарского края (по согласованию)</w:t>
            </w:r>
            <w:r/>
          </w:p>
        </w:tc>
        <w:tc>
          <w:tcPr>
            <w:tcW w:w="147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2026 год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сокращение расходов бюджета Краснодарского края, тыс. рублей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160984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1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4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160984</w:t>
            </w:r>
            <w:r/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2.1.6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Непроведение индексации с 01 декабря 2026 г</w:t>
            </w:r>
            <w:r>
              <w:t xml:space="preserve">. на 4% оплаты труда лиц, замещающих государственные должности Краснодарского края, государственных гражданских служащих Краснодарского края, работников, не относящихся к должностям государственной гражданской службы Краснодарского края, в государственных </w:t>
            </w:r>
            <w:r>
              <w:t xml:space="preserve">органах Краснодарского края </w:t>
            </w:r>
            <w:hyperlink w:tooltip="#P698" w:anchor="P69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органы государственной власти Краснодарского края, государственные органы Краснодарского края (по согласованию)</w:t>
            </w:r>
            <w:r/>
          </w:p>
        </w:tc>
        <w:tc>
          <w:tcPr>
            <w:tcW w:w="147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2026 - 2028 годы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сокращение расходов бюджета Краснодарского края, тыс. рублей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27949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363449</w:t>
            </w:r>
            <w:r/>
          </w:p>
        </w:tc>
        <w:tc>
          <w:tcPr>
            <w:tcW w:w="111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363449</w:t>
            </w:r>
            <w:r/>
          </w:p>
        </w:tc>
        <w:tc>
          <w:tcPr>
            <w:tcW w:w="114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754847</w:t>
            </w:r>
            <w:r/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621"/>
              <w:jc w:val="center"/>
              <w:outlineLvl w:val="3"/>
            </w:pPr>
            <w:r>
              <w:t xml:space="preserve">2.2</w:t>
            </w:r>
            <w:r/>
          </w:p>
        </w:tc>
        <w:tc>
          <w:tcPr>
            <w:gridSpan w:val="12"/>
            <w:tcW w:w="16215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rPr>
                <w:b/>
                <w:bCs/>
              </w:rPr>
              <w:t xml:space="preserve">Повышение эффективности государственных (муниципальных) закупок</w:t>
            </w:r>
            <w:r/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2.2.1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Уменьшение расходов на закупку товаров, работ, услуг для обеспечения государственных нужд на сумму экономии, образовавшейся по резу</w:t>
            </w:r>
            <w:r>
              <w:t xml:space="preserve">льтатам заключения государственных контрактов (контрактов) на закупку товаров, работ, услуг получателями средств бюджета Краснодарского края, государственными бюджетными и (или) государственными автономными учреждениями Краснодарского края за счет средств </w:t>
            </w:r>
            <w:r>
              <w:t xml:space="preserve">бюджета Краснодарского края, полученных в виде субсидий на финансовое обеспечение выполнения государственного задания, и (или) субсидий на</w:t>
            </w:r>
            <w:r>
              <w:t xml:space="preserve"> иные цели, и (или) субсидий на осуществление капитальных вложений в объекты государственной собственности</w:t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органы государственной власти Краснодарского края, государственные органы Краснодарского края (по согласованию)</w:t>
            </w:r>
            <w:r/>
          </w:p>
        </w:tc>
        <w:tc>
          <w:tcPr>
            <w:tcW w:w="147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2026 - 2029 годы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сокращение расходов бюджета Краснодарского края, тыс. рублей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150000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150000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100000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100000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500000</w:t>
            </w:r>
            <w:r/>
          </w:p>
        </w:tc>
        <w:tc>
          <w:tcPr>
            <w:tcW w:w="111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500000</w:t>
            </w:r>
            <w:r/>
          </w:p>
        </w:tc>
        <w:tc>
          <w:tcPr>
            <w:tcW w:w="114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500000</w:t>
            </w:r>
            <w:r/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2000000</w:t>
            </w:r>
            <w:r/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2.2.2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Организация совместных закупок товаров, работ, услуг для обеспечения нужд органов исполнительной власти Краснодарского края и государственных учреждений Краснодарского края</w:t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государственное казенное учреждение Краснодарского края "Дирекция государственных закупок" (далее - Дирекция государственных закупок); органы исполнительной власти Краснодарског</w:t>
            </w:r>
            <w:r>
              <w:t xml:space="preserve">о края; структурные подразделения администрации Краснодарского края</w:t>
            </w:r>
            <w:r/>
          </w:p>
        </w:tc>
        <w:tc>
          <w:tcPr>
            <w:tcW w:w="147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2026 - 2029 годы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число заказчиков, участвующих в проведении совместных закупок, организатором которых выступает Дирекция государственных закупок</w:t>
            </w:r>
            <w:r/>
          </w:p>
        </w:tc>
        <w:tc>
          <w:tcPr>
            <w:gridSpan w:val="4"/>
            <w:tcW w:w="4422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не менее 250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не менее 275</w:t>
            </w:r>
            <w:r/>
          </w:p>
        </w:tc>
        <w:tc>
          <w:tcPr>
            <w:tcW w:w="111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не менее 300</w:t>
            </w:r>
            <w:r/>
          </w:p>
        </w:tc>
        <w:tc>
          <w:tcPr>
            <w:tcW w:w="114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не менее 325</w:t>
            </w:r>
            <w:r/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2.2.3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Осуществление закупок товаров, работ, услуг для обеспечения государственных нужд Краснодарского края (муниципальных нужд) малого объема </w:t>
            </w:r>
            <w:hyperlink w:tooltip="#P699" w:anchor="P699" w:history="1">
              <w:r>
                <w:rPr>
                  <w:color w:val="0000ff"/>
                </w:rPr>
                <w:t xml:space="preserve">&lt;4&gt;</w:t>
              </w:r>
            </w:hyperlink>
            <w:r>
              <w:t xml:space="preserve"> на электронных площадках посредством региональной информационной системы Краснодарского края, используемой в сфере закупок для обеспечения государственных и муниципальных нужд (далее - РИССЗ КК), а также в </w:t>
            </w:r>
            <w:r>
              <w:t xml:space="preserve">соответствии с положениями </w:t>
            </w:r>
            <w:hyperlink r:id="rId14" w:tooltip="https://login.consultant.ru/link/?req=doc&amp;base=LAW&amp;n=495181&amp;dst=12286" w:history="1">
              <w:r>
                <w:rPr>
                  <w:color w:val="0000ff"/>
                </w:rPr>
                <w:t xml:space="preserve">части 12 статьи 93</w:t>
              </w:r>
            </w:hyperlink>
            <w:r>
              <w:t xml:space="preserve"> Федерального закона от 05 апреля 2013 г. N 44-ФЗ "О контрактной системе</w:t>
            </w:r>
            <w:r>
              <w:t xml:space="preserve"> в сфере закупок товаров, работ, услуг для обеспечения государственных и муниципальных нужд" (далее - Федеральный закон N 44-ФЗ)</w:t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заказчики, осуществляющие закупки товаров, работ, услуг для обеспечения государственных нужд Краснодарского края (муниципальных нужд)</w:t>
            </w:r>
            <w:r/>
          </w:p>
        </w:tc>
        <w:tc>
          <w:tcPr>
            <w:tcW w:w="147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2026 - 2029 годы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доля закупок товаров, работ, услуг малого объема </w:t>
            </w:r>
            <w:hyperlink w:tooltip="#P699" w:anchor="P699" w:history="1">
              <w:r>
                <w:rPr>
                  <w:color w:val="0000ff"/>
                </w:rPr>
                <w:t xml:space="preserve">&lt;4&gt;</w:t>
              </w:r>
            </w:hyperlink>
            <w:r>
              <w:t xml:space="preserve">, осуществляемых на электронных площадках посредством РИССЗ КК, а также в соответствии с положениями </w:t>
            </w:r>
            <w:hyperlink r:id="rId15" w:tooltip="https://login.consultant.ru/link/?req=doc&amp;base=LAW&amp;n=495181&amp;dst=12286" w:history="1">
              <w:r>
                <w:rPr>
                  <w:color w:val="0000ff"/>
                </w:rPr>
                <w:t xml:space="preserve">части 12 статьи 93</w:t>
              </w:r>
            </w:hyperlink>
            <w:r>
              <w:t xml:space="preserve"> Федерального закона N 44-ФЗ, процент</w:t>
            </w:r>
            <w:r/>
          </w:p>
        </w:tc>
        <w:tc>
          <w:tcPr>
            <w:gridSpan w:val="4"/>
            <w:tcW w:w="4422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не менее 65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не менее 65</w:t>
            </w:r>
            <w:r/>
          </w:p>
        </w:tc>
        <w:tc>
          <w:tcPr>
            <w:tcW w:w="111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не менее 65</w:t>
            </w:r>
            <w:r/>
          </w:p>
        </w:tc>
        <w:tc>
          <w:tcPr>
            <w:tcW w:w="114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не менее 65</w:t>
            </w:r>
            <w:r/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не менее 65</w:t>
            </w:r>
            <w:r/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2.2.4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Использование информации, полученной в результате размещения запросов цен товаров, работ, услуг в единой информационной системе в сфере закупок (в случае получения такой информации заказчиком), а также информации о ценах товаров, работ, услуг, </w:t>
            </w:r>
            <w:r>
              <w:t xml:space="preserve">содержащейся в реестре контрактов, в рамках обоснования начальной (максимальной) цены контракта, цены контракта с единственным поставщиком способом сопоставимых рыночных цен при осуществлении закупок товаров, работ, услуг для обеспечения</w:t>
            </w:r>
            <w:r>
              <w:t xml:space="preserve"> государственных нужд Краснодарского края (муниципальных нужд) (за исключением закупок с единственным поставщиком (подрядчиком, исполнителем) в соответствии с </w:t>
            </w:r>
            <w:hyperlink r:id="rId16" w:tooltip="https://login.consultant.ru/link/?req=doc&amp;base=LAW&amp;n=495181&amp;dst=12218" w:history="1">
              <w:r>
                <w:rPr>
                  <w:color w:val="0000ff"/>
                </w:rPr>
                <w:t xml:space="preserve">пунктами 4</w:t>
              </w:r>
            </w:hyperlink>
            <w:r>
              <w:t xml:space="preserve"> и </w:t>
            </w:r>
            <w:hyperlink r:id="rId17" w:tooltip="https://login.consultant.ru/link/?req=doc&amp;base=LAW&amp;n=495181&amp;dst=12219" w:history="1">
              <w:r>
                <w:rPr>
                  <w:color w:val="0000ff"/>
                </w:rPr>
                <w:t xml:space="preserve">5 части 1 статьи 93</w:t>
              </w:r>
            </w:hyperlink>
            <w:r>
              <w:t xml:space="preserve"> Федерального </w:t>
            </w:r>
            <w:r>
              <w:t xml:space="preserve">закона N 44-ФЗ, осуществляемых в электронном виде через РИССЗ КК)</w:t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заказчики, осуществляющие закупки товаров, работ, услуг для обеспечения государственных нужд Краснодарского края (муниципальных нужд)</w:t>
            </w:r>
            <w:r/>
          </w:p>
        </w:tc>
        <w:tc>
          <w:tcPr>
            <w:tcW w:w="147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2026 - 2029 годы</w:t>
            </w:r>
            <w:r/>
          </w:p>
        </w:tc>
        <w:tc>
          <w:tcPr>
            <w:gridSpan w:val="9"/>
            <w:tcW w:w="10716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исключение случаев необоснованного завышения стоимости государственных контрактов</w:t>
            </w:r>
            <w:r/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2.2.5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Исключение случаев осуществления закупок товаров, работ, услуг для обеспечения государственных нужд Краснодарского края </w:t>
            </w:r>
            <w:r>
              <w:t xml:space="preserve">(муниципальных нужд по расходам, источником финансового обеспечения которых являются межбюджетные трансферты из бюджета Краснодарского края, имеющие целевое назначение; бюджетные кредиты, предоставляемые из бюджетов бюджетной системы Российской Федерации; </w:t>
            </w:r>
            <w:r>
              <w:t xml:space="preserve">имеющие целевое назначение безвозмездные поступления от физических и юридических лиц) конкурентными способами без соблюдения условия о централизации указанных закупок через Дирекцию государственных закупок</w:t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заказчики, осуществляющие закупки товаров, работ, услуг для обеспечения государственных нужд Краснодарского края (муниципальных нужд)</w:t>
            </w:r>
            <w:r/>
          </w:p>
        </w:tc>
        <w:tc>
          <w:tcPr>
            <w:tcW w:w="147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постоянно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доля закупок товаров, работ, услуг с начальной (максимальной) ценой контракта, превышающей 600 тыс. рублей, осуществленных заказчиками с соблюдением условия о централизации указанных закупок через Дирекцию государственных закупок, процент</w:t>
            </w:r>
            <w:r/>
          </w:p>
        </w:tc>
        <w:tc>
          <w:tcPr>
            <w:gridSpan w:val="4"/>
            <w:tcW w:w="4422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100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100</w:t>
            </w:r>
            <w:r/>
          </w:p>
        </w:tc>
        <w:tc>
          <w:tcPr>
            <w:tcW w:w="111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100</w:t>
            </w:r>
            <w:r/>
          </w:p>
        </w:tc>
        <w:tc>
          <w:tcPr>
            <w:tcW w:w="114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100</w:t>
            </w:r>
            <w:r/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100</w:t>
            </w:r>
            <w:r/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2.2.6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Исключение случаев размещения в единой информационной системе в сфере закупок информации о закупках товаров, работ, услуг для обеспечения государственных нужд Краснодарского края (муниципальных нужд по расходам, источником финансового </w:t>
            </w:r>
            <w:r>
              <w:t xml:space="preserve">обеспечения которых являются меж</w:t>
            </w:r>
            <w:r>
              <w:t xml:space="preserve">бюджетные трансферты из бюджета Краснодарского края, имеющие целевое назначение; бюджетные кредиты, предоставляемые из бюджетов бюджетной системы Российской Федерации; имеющие целевое назначение безвозмездные поступления от физических и юридических лиц) и </w:t>
            </w:r>
            <w:r>
              <w:t xml:space="preserve">контрактах</w:t>
            </w:r>
            <w:r>
              <w:t xml:space="preserve">, в том числе контрактах с единственным поставщиком (подрядчиком, исполнителем), без применения РИССЗ КК</w:t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заказчики, осуществляющие закупки товаров, работ, услуг для обеспечения государственных нужд Краснодарского края (муниципальных нужд)</w:t>
            </w:r>
            <w:r/>
          </w:p>
        </w:tc>
        <w:tc>
          <w:tcPr>
            <w:tcW w:w="147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постоянно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доля закупок товаров, работ, услуг и контрактов, размещенных в единой информационной системе в сфере закупок заказчиками с применением РИССЗ КК, процент</w:t>
            </w:r>
            <w:r/>
          </w:p>
        </w:tc>
        <w:tc>
          <w:tcPr>
            <w:gridSpan w:val="4"/>
            <w:tcW w:w="4422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100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100</w:t>
            </w:r>
            <w:r/>
          </w:p>
        </w:tc>
        <w:tc>
          <w:tcPr>
            <w:tcW w:w="111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100</w:t>
            </w:r>
            <w:r/>
          </w:p>
        </w:tc>
        <w:tc>
          <w:tcPr>
            <w:tcW w:w="114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100</w:t>
            </w:r>
            <w:r/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100</w:t>
            </w:r>
            <w:r/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2.2.7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Исключение случаев осуществления закупок товаров, </w:t>
            </w:r>
            <w:r>
              <w:t xml:space="preserve">работ, услуг для обеспечения государственных нужд Краснодарского края (муниципальных нужд) конкурентными способами с признаками "искусственного дробления" </w:t>
            </w:r>
            <w:hyperlink w:tooltip="#P700" w:anchor="P700" w:history="1">
              <w:r>
                <w:rPr>
                  <w:color w:val="0000ff"/>
                </w:rPr>
                <w:t xml:space="preserve">&lt;5&gt;</w:t>
              </w:r>
            </w:hyperlink>
            <w:r/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заказчики, осуществляющие закупки </w:t>
            </w:r>
            <w:r>
              <w:t xml:space="preserve">товаров, работ, услуг для обеспечения государственных нужд Краснодарского края (муниципальных нужд)</w:t>
            </w:r>
            <w:r/>
          </w:p>
        </w:tc>
        <w:tc>
          <w:tcPr>
            <w:tcW w:w="147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постоянно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доля закупок товаров, работ, услуг с </w:t>
            </w:r>
            <w:r>
              <w:t xml:space="preserve">признаками "искусственного дробления" </w:t>
            </w:r>
            <w:hyperlink w:tooltip="#P700" w:anchor="P700" w:history="1">
              <w:r>
                <w:rPr>
                  <w:color w:val="0000ff"/>
                </w:rPr>
                <w:t xml:space="preserve">&lt;5&gt;</w:t>
              </w:r>
            </w:hyperlink>
            <w:r>
              <w:t xml:space="preserve"> в общем количестве закупок товаров, работ, услуг, осуществленных конкурентными способами, процент</w:t>
            </w:r>
            <w:r/>
          </w:p>
        </w:tc>
        <w:tc>
          <w:tcPr>
            <w:gridSpan w:val="4"/>
            <w:tcW w:w="4422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0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0</w:t>
            </w:r>
            <w:r/>
          </w:p>
        </w:tc>
        <w:tc>
          <w:tcPr>
            <w:tcW w:w="111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0</w:t>
            </w:r>
            <w:r/>
          </w:p>
        </w:tc>
        <w:tc>
          <w:tcPr>
            <w:tcW w:w="114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0</w:t>
            </w:r>
            <w:r/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0</w:t>
            </w:r>
            <w:r/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621"/>
              <w:jc w:val="center"/>
              <w:outlineLvl w:val="3"/>
            </w:pPr>
            <w:r>
              <w:t xml:space="preserve">2.3</w:t>
            </w:r>
            <w:r/>
          </w:p>
        </w:tc>
        <w:tc>
          <w:tcPr>
            <w:gridSpan w:val="12"/>
            <w:tcW w:w="16215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rPr>
                <w:b/>
                <w:bCs/>
              </w:rPr>
              <w:t xml:space="preserve">Оптимизация расходов на содержание бюджетной сети</w:t>
            </w:r>
            <w:r/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2.3.1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Уменьшение расходов за счет направления на обеспечение деятельности государственных бюджетных и государственных автономных учреждений Краснодарского края социальной сферы доходов данных учреждений от приносящей доход деятельности</w:t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минис</w:t>
            </w:r>
            <w:r>
              <w:t xml:space="preserve">терство образования и науки Краснодарского края; министерство культуры Краснодарского края; министерство здравоохранения Краснодарского края; министерство физической культуры и спорта Краснодарского края; департамент молодежной политики Краснодарского края</w:t>
            </w:r>
            <w:r/>
          </w:p>
        </w:tc>
        <w:tc>
          <w:tcPr>
            <w:tcW w:w="147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2026 - 2029 годы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уменьшение расходов бюджета Краснодарского края по сравнению с 2023 годом, тыс. рублей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500000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800000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1200000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1500000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4000000</w:t>
            </w:r>
            <w:r/>
          </w:p>
        </w:tc>
        <w:tc>
          <w:tcPr>
            <w:tcW w:w="111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4000000</w:t>
            </w:r>
            <w:r/>
          </w:p>
        </w:tc>
        <w:tc>
          <w:tcPr>
            <w:tcW w:w="114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4000000</w:t>
            </w:r>
            <w:r/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16000000</w:t>
            </w:r>
            <w:r/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2.3.2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Сокращение расходов на осуществление капитального ремонта государственными учреждениями Краснодарского края</w:t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органы исполнительной власти Краснодарского края; структурные подразделения администрации Краснодарского края</w:t>
            </w:r>
            <w:r/>
          </w:p>
        </w:tc>
        <w:tc>
          <w:tcPr>
            <w:tcW w:w="147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2026 год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сокращение расходов бюджета Краснодарского края, тыс. рублей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97420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1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4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97420</w:t>
            </w:r>
            <w:r/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2.3.3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Сокращение штатной численности работников государственных учреждений Краснодарского края, оплата труда которых осуществляется в соответствии с </w:t>
            </w:r>
            <w:hyperlink r:id="rId18" w:tooltip="https://login.consultant.ru/link/?req=doc&amp;base=RLAW177&amp;n=278904" w:history="1">
              <w:r>
                <w:rPr>
                  <w:color w:val="0000ff"/>
                </w:rPr>
                <w:t xml:space="preserve">постановлением</w:t>
              </w:r>
            </w:hyperlink>
            <w:r>
              <w:t xml:space="preserve"> главы администрации (губернатора) Краснодарского края от 02 сентября 2010 г. N 742 "Об оплате труда работников государственных учреждений Краснодарского края"</w:t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органы исполнительной власти Краснодарского края; структурные подразделения администрации Краснодарского края</w:t>
            </w:r>
            <w:r/>
          </w:p>
        </w:tc>
        <w:tc>
          <w:tcPr>
            <w:tcW w:w="147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2026 год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сокращение расходов бюджета Краснодарского края, тыс. рублей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сокращение расходов бюджета Краснодарского края </w:t>
            </w:r>
            <w:hyperlink w:tooltip="#P697" w:anchor="P697" w:history="1">
              <w:r>
                <w:rPr>
                  <w:color w:val="0000ff"/>
                </w:rPr>
                <w:t xml:space="preserve">&lt;2&gt;</w:t>
              </w:r>
            </w:hyperlink>
            <w:r/>
            <w:r/>
          </w:p>
        </w:tc>
        <w:tc>
          <w:tcPr>
            <w:tcW w:w="111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4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сокращение расходов бюджета Краснодарского края </w:t>
            </w:r>
            <w:hyperlink w:tooltip="#P697" w:anchor="P697" w:history="1">
              <w:r>
                <w:rPr>
                  <w:color w:val="0000ff"/>
                </w:rPr>
                <w:t xml:space="preserve">&lt;2&gt;</w:t>
              </w:r>
            </w:hyperlink>
            <w:r/>
            <w:r/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2.3.4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Непроведение индексации с 01 декабря 2026 г. на 4% оплаты труда работников государственных учреждений Краснодарского края </w:t>
            </w:r>
            <w:hyperlink w:tooltip="#P701" w:anchor="P701" w:history="1">
              <w:r>
                <w:rPr>
                  <w:color w:val="0000ff"/>
                </w:rPr>
                <w:t xml:space="preserve">&lt;6&gt;</w:t>
              </w:r>
            </w:hyperlink>
            <w:r/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органы исполнительной власти Краснодарского края; структурные подразделения администрации Краснодарского края</w:t>
            </w:r>
            <w:r/>
          </w:p>
        </w:tc>
        <w:tc>
          <w:tcPr>
            <w:tcW w:w="147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2026 - 2028 годы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сокращение расходов бюджета Краснодарского края, тыс. рублей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61359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727407</w:t>
            </w:r>
            <w:r/>
          </w:p>
        </w:tc>
        <w:tc>
          <w:tcPr>
            <w:tcW w:w="111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727403</w:t>
            </w:r>
            <w:r/>
          </w:p>
        </w:tc>
        <w:tc>
          <w:tcPr>
            <w:tcW w:w="114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1516169</w:t>
            </w:r>
            <w:r/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621"/>
              <w:jc w:val="center"/>
              <w:outlineLvl w:val="3"/>
            </w:pPr>
            <w:r>
              <w:t xml:space="preserve">2.4</w:t>
            </w:r>
            <w:r/>
          </w:p>
        </w:tc>
        <w:tc>
          <w:tcPr>
            <w:gridSpan w:val="12"/>
            <w:tcW w:w="16215" w:type="dxa"/>
            <w:textDirection w:val="lrTb"/>
            <w:noWrap w:val="false"/>
          </w:tcPr>
          <w:p>
            <w:pPr>
              <w:pStyle w:val="621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Повышение эффективности мер социальной поддержки населения</w:t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2.4.1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Проведение </w:t>
            </w:r>
            <w:r>
              <w:t xml:space="preserve">анализа эффективности предоставления мер социальной поддержки</w:t>
            </w:r>
            <w:r>
              <w:t xml:space="preserve"> отдельным категориям граждан. Внесение предложений по их совершенствованию, в том числе в части уточнения критериев адресности и нуждаемости при предоставлении мер социальной поддержки</w:t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органы исполнительной власти Краснодарского края; структурные подразделения администрации Краснодарского края</w:t>
            </w:r>
            <w:r/>
          </w:p>
        </w:tc>
        <w:tc>
          <w:tcPr>
            <w:tcW w:w="147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ежегодно</w:t>
            </w:r>
            <w:r/>
          </w:p>
        </w:tc>
        <w:tc>
          <w:tcPr>
            <w:gridSpan w:val="9"/>
            <w:tcW w:w="10716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совершенствование механизма предоставления мер социальной поддержки отдельным категориям граждан</w:t>
            </w:r>
            <w:r/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621"/>
              <w:jc w:val="center"/>
              <w:outlineLvl w:val="3"/>
            </w:pPr>
            <w:r>
              <w:t xml:space="preserve">2.5</w:t>
            </w:r>
            <w:r/>
          </w:p>
        </w:tc>
        <w:tc>
          <w:tcPr>
            <w:gridSpan w:val="12"/>
            <w:tcW w:w="16215" w:type="dxa"/>
            <w:textDirection w:val="lrTb"/>
            <w:noWrap w:val="false"/>
          </w:tcPr>
          <w:p>
            <w:pPr>
              <w:pStyle w:val="621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Оптимизация расходов на осуществление бюджетных инвестиций</w:t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2.5.1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Сокращение расходов на осуществление капитальных вложений в объекты собственности Краснодарского края</w:t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органы исполнительной власти Краснодарского края</w:t>
            </w:r>
            <w:r/>
          </w:p>
        </w:tc>
        <w:tc>
          <w:tcPr>
            <w:tcW w:w="147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2026 - 2029 годы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сокращение расходов бюджета Краснодарского края, тыс. рублей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5000000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1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1000000</w:t>
            </w:r>
            <w:r/>
          </w:p>
        </w:tc>
        <w:tc>
          <w:tcPr>
            <w:tcW w:w="114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6000000</w:t>
            </w:r>
            <w:r/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621"/>
              <w:jc w:val="center"/>
              <w:outlineLvl w:val="3"/>
            </w:pPr>
            <w:r>
              <w:t xml:space="preserve">2.6</w:t>
            </w:r>
            <w:r/>
          </w:p>
        </w:tc>
        <w:tc>
          <w:tcPr>
            <w:gridSpan w:val="12"/>
            <w:tcW w:w="16215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rPr>
                <w:b/>
                <w:bCs/>
              </w:rPr>
              <w:t xml:space="preserve">Инвентаризация мероприятий государственных программ Краснодарского края</w:t>
            </w:r>
            <w:r/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2.6.1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Сокращение расходов на реализацию отдельных мероприятий государственных программ Краснодарского края по результатам их инвентаризации</w:t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органы исполнительной власти Краснодарского края; структурные подразделения администрации Краснодарского края</w:t>
            </w:r>
            <w:r/>
          </w:p>
        </w:tc>
        <w:tc>
          <w:tcPr>
            <w:tcW w:w="147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2026 год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сокращение расходов бюджета Краснодарского края, тыс. рублей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136592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1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4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136592</w:t>
            </w:r>
            <w:r/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621"/>
              <w:jc w:val="center"/>
              <w:outlineLvl w:val="3"/>
            </w:pPr>
            <w:r>
              <w:t xml:space="preserve">2.7</w:t>
            </w:r>
            <w:r/>
          </w:p>
        </w:tc>
        <w:tc>
          <w:tcPr>
            <w:gridSpan w:val="12"/>
            <w:tcW w:w="16215" w:type="dxa"/>
            <w:textDirection w:val="lrTb"/>
            <w:noWrap w:val="false"/>
          </w:tcPr>
          <w:p>
            <w:pPr>
              <w:pStyle w:val="621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Совершенствование межбюджетных отношений</w:t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2.7.1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Проведение оценки качества управления муниципальными финансами в муниципальных образованиях Краснодарского края</w:t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министерство финансов Краснодарского края</w:t>
            </w:r>
            <w:r/>
          </w:p>
        </w:tc>
        <w:tc>
          <w:tcPr>
            <w:tcW w:w="147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ежегодно</w:t>
            </w:r>
            <w:r/>
          </w:p>
        </w:tc>
        <w:tc>
          <w:tcPr>
            <w:gridSpan w:val="9"/>
            <w:tcW w:w="10716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подготовка рекомендаций органам местного самоуправления муниципальных образований Краснодарского края по совершенствованию управления муниципальными финансами</w:t>
            </w:r>
            <w:r/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2.7.2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Сокращение расходов на предоставление бюджетам муниципальных образований Краснодарского края межбюджетных трансфертов стимулирующего характера</w:t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министерство финансов Краснодарского края</w:t>
            </w:r>
            <w:r/>
          </w:p>
        </w:tc>
        <w:tc>
          <w:tcPr>
            <w:tcW w:w="147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2026 год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сокращение расходов бюджета Краснодарского края, тыс. рублей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50000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1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4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50000</w:t>
            </w:r>
            <w:r/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2.7.3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Сокращение расходов на предоставление субсидий из бюджета Краснодарского края бюджетам муниципальных образований Краснодарского края в случае отсутстви</w:t>
            </w:r>
            <w:r>
              <w:t xml:space="preserve">я заключенных муниципальных контрактов на 90-й календарный день после дня вступления в силу правового акта Краснодарского края, утверждающего распределение (внесение изменений в распределение) субсидий между муниципальными образованиями Краснодарского края</w:t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органы исполнительной власти Краснодарского края; структурные под разделения администрации Краснодарского края</w:t>
            </w:r>
            <w:r/>
          </w:p>
        </w:tc>
        <w:tc>
          <w:tcPr>
            <w:tcW w:w="147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ежегодно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сокращение расходов бюджета Краснодарского края, тыс. рублей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46624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1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4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46624</w:t>
            </w:r>
            <w:r/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2.7.4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Непроведение индексации с 01 декабря 2026 г. на 4% оплаты труда с начислениями на выплаты по оплате труда в рамках субвенций для </w:t>
            </w:r>
            <w:r>
              <w:t xml:space="preserve">осуществления</w:t>
            </w:r>
            <w:r>
              <w:t xml:space="preserve"> переданных органам местного самоуправления муниципальных образований Краснодарского края отдельных государственных полномочий Краснодарского края</w:t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органы исполнительной власти Краснодарского края; структурные подразделения администрации Краснодарского края</w:t>
            </w:r>
            <w:r/>
          </w:p>
        </w:tc>
        <w:tc>
          <w:tcPr>
            <w:tcW w:w="147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2026 - 2028 годы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сокращение расходов бюджета Краснодарского края, тыс. рублей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4059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48922</w:t>
            </w:r>
            <w:r/>
          </w:p>
        </w:tc>
        <w:tc>
          <w:tcPr>
            <w:tcW w:w="111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48854</w:t>
            </w:r>
            <w:r/>
          </w:p>
        </w:tc>
        <w:tc>
          <w:tcPr>
            <w:tcW w:w="114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101835</w:t>
            </w:r>
            <w:r/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621"/>
              <w:jc w:val="center"/>
              <w:outlineLvl w:val="3"/>
            </w:pPr>
            <w:r>
              <w:t xml:space="preserve">2.8</w:t>
            </w:r>
            <w:r/>
          </w:p>
        </w:tc>
        <w:tc>
          <w:tcPr>
            <w:gridSpan w:val="12"/>
            <w:tcW w:w="16215" w:type="dxa"/>
            <w:textDirection w:val="lrTb"/>
            <w:noWrap w:val="false"/>
          </w:tcPr>
          <w:p>
            <w:pPr>
              <w:pStyle w:val="621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Сокращение (недопущение возникновения) просроченной кредиторской задолженности</w:t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2.8.1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Мониторинг просроченной кредиторской задолженности</w:t>
            </w:r>
            <w:r>
              <w:t xml:space="preserve"> государственных бюджетных и государственных автономных учреждений Краснодарского края, муниципальных бюджетных и муниципальных автономных учреждений муниципальных образований Краснодарского края; анализ причин ее возникновения и принятие мер по сокращению</w:t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органы исполнительной власти Краснодарского края; структурные подразделения администрации Краснодарского края;</w:t>
            </w:r>
            <w:r/>
          </w:p>
          <w:p>
            <w:pPr>
              <w:pStyle w:val="621"/>
              <w:jc w:val="both"/>
            </w:pPr>
            <w:r>
              <w:t xml:space="preserve">органы местного самоуправления муниципальных образований Краснодарского края (по согласованию)</w:t>
            </w:r>
            <w:r/>
          </w:p>
        </w:tc>
        <w:tc>
          <w:tcPr>
            <w:tcW w:w="147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ежемесячно</w:t>
            </w:r>
            <w:r/>
          </w:p>
        </w:tc>
        <w:tc>
          <w:tcPr>
            <w:gridSpan w:val="9"/>
            <w:tcW w:w="10716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сокращение просроченной кредиторской задолженности государственных бюджетных и государственных автономных учреждений Краснодарского края, муниципальных бюджетных и муниципальных автономных учреждений муниципальных образований Краснодарского края</w:t>
            </w:r>
            <w:r/>
          </w:p>
        </w:tc>
      </w:tr>
      <w:tr>
        <w:tblPrEx/>
        <w:trPr/>
        <w:tc>
          <w:tcPr>
            <w:gridSpan w:val="5"/>
            <w:tcW w:w="7937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Итого по разделу 2, тыс. рублей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650000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1289466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1587411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6600000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5639778</w:t>
            </w:r>
            <w:r/>
          </w:p>
        </w:tc>
        <w:tc>
          <w:tcPr>
            <w:tcW w:w="111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6639706</w:t>
            </w:r>
            <w:r/>
          </w:p>
        </w:tc>
        <w:tc>
          <w:tcPr>
            <w:tcW w:w="114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4500000</w:t>
            </w:r>
            <w:r/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26906361</w:t>
            </w:r>
            <w:r/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621"/>
              <w:jc w:val="center"/>
              <w:outlineLvl w:val="2"/>
            </w:pPr>
            <w:r>
              <w:t xml:space="preserve">3</w:t>
            </w:r>
            <w:r/>
          </w:p>
        </w:tc>
        <w:tc>
          <w:tcPr>
            <w:gridSpan w:val="12"/>
            <w:tcW w:w="16215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Мероприятия по оптимизации структуры и уровня государственного долга</w:t>
            </w:r>
            <w:r/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3.1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Минимизация расходов на обслуживание государственного долга Краснодарского края</w:t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министерство финансов Краснодарского края</w:t>
            </w:r>
            <w:r/>
          </w:p>
        </w:tc>
        <w:tc>
          <w:tcPr>
            <w:tcW w:w="147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2026 - 2029 годы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сокращение расходов бюджета Краснодарского края, тыс. рублей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1000000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1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4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1000000</w:t>
            </w:r>
            <w:r/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3.2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Обеспечение соблюдения ограничения общего объема государственного долга Краснодарского края и муниципального долга муниципальных образований Краснодарского края по государственным (муниципальным) ценным бумагам и кредитам, полученным Краснодарски</w:t>
            </w:r>
            <w:r>
              <w:t xml:space="preserve">м краем (муниципальным образованием Краснодарского края) от кредитных организаций (далее - рыночные заимствования), по отношению к общему объему доходов консолидированного бюджета Краснодарского края без учета утвержденного объема безвозмездных поступлений</w:t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министерство финансов Краснодарского края</w:t>
            </w:r>
            <w:r/>
          </w:p>
        </w:tc>
        <w:tc>
          <w:tcPr>
            <w:tcW w:w="147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ежегодно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отношение общего объема рыночных заимствований к общему объему доходов консолидированного бюджета Краснодарского края без учета утвержденного объема безвозмездных поступлений, процент</w:t>
            </w:r>
            <w:r/>
          </w:p>
        </w:tc>
        <w:tc>
          <w:tcPr>
            <w:gridSpan w:val="4"/>
            <w:tcW w:w="4422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не более 25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не более 25</w:t>
            </w:r>
            <w:r/>
          </w:p>
        </w:tc>
        <w:tc>
          <w:tcPr>
            <w:tcW w:w="111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не более 25</w:t>
            </w:r>
            <w:r/>
          </w:p>
        </w:tc>
        <w:tc>
          <w:tcPr>
            <w:tcW w:w="114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не более 25</w:t>
            </w:r>
            <w:r/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не более 25</w:t>
            </w:r>
            <w:r/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3.3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Обеспечение </w:t>
            </w:r>
            <w:r>
              <w:t xml:space="preserve">соблюдения ограничения объема дефицита бюджета Краснодарского края</w:t>
            </w:r>
            <w:r>
              <w:t xml:space="preserve"> по отношению к утвержденному общему годовому объему доходов бюджета Краснодарского края без учета утвержденного объема безвозмездных поступлений </w:t>
            </w:r>
            <w:hyperlink w:tooltip="#P702" w:anchor="P702" w:history="1">
              <w:r>
                <w:rPr>
                  <w:color w:val="0000ff"/>
                </w:rPr>
                <w:t xml:space="preserve">&lt;7&gt;</w:t>
              </w:r>
            </w:hyperlink>
            <w:r/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министерство финансов Краснодарского края</w:t>
            </w:r>
            <w:r/>
          </w:p>
        </w:tc>
        <w:tc>
          <w:tcPr>
            <w:tcW w:w="147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ежегодно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отношение объема дефицита бюджета Краснодарского края к утвержденному общему годовому объему доходов бюджета Краснодарского края без учета утвержденного объема безвозмездных поступлений, процент</w:t>
            </w:r>
            <w:r/>
          </w:p>
        </w:tc>
        <w:tc>
          <w:tcPr>
            <w:gridSpan w:val="4"/>
            <w:tcW w:w="4422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не более 10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не более 10</w:t>
            </w:r>
            <w:r/>
          </w:p>
        </w:tc>
        <w:tc>
          <w:tcPr>
            <w:tcW w:w="111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не более 10</w:t>
            </w:r>
            <w:r/>
          </w:p>
        </w:tc>
        <w:tc>
          <w:tcPr>
            <w:tcW w:w="114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не более 10</w:t>
            </w:r>
            <w:r/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не более 10</w:t>
            </w:r>
            <w:r/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3.4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Обеспечение соблюдения ограничения годовой суммы платежей по погашению и обслуживанию государственного долга Краснодарского края, возникшего по состоянию на 1 января очередного финансового года, без учета платежей, направляе</w:t>
            </w:r>
            <w:r>
              <w:t xml:space="preserve">мых на досрочное погашение долговых обязательств со сроками погашения после 1 января года, следующего за очередным финансовым годом (далее - платежи по обслуживанию долга), по отношению к общему объему налоговых и неналоговых доходов бюджета Краснодарского</w:t>
            </w:r>
            <w:r>
              <w:t xml:space="preserve"> края и дотаций из бюджетов бюджетной системы Российской Федерации</w:t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министерство финансов Краснодарского края</w:t>
            </w:r>
            <w:r/>
          </w:p>
        </w:tc>
        <w:tc>
          <w:tcPr>
            <w:tcW w:w="147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ежегодно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отношение суммы платежей по обслуживанию долга к общему объему налоговых и неналоговых доходов бюджета Краснодарского края и дотаций из бюджетов бюджетной системы Российской Федерации, процент</w:t>
            </w:r>
            <w:r/>
          </w:p>
        </w:tc>
        <w:tc>
          <w:tcPr>
            <w:gridSpan w:val="4"/>
            <w:tcW w:w="4422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не более 13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не более 13</w:t>
            </w:r>
            <w:r/>
          </w:p>
        </w:tc>
        <w:tc>
          <w:tcPr>
            <w:tcW w:w="111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не более 13</w:t>
            </w:r>
            <w:r/>
          </w:p>
        </w:tc>
        <w:tc>
          <w:tcPr>
            <w:tcW w:w="114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не более 13</w:t>
            </w:r>
            <w:r/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не более 13</w:t>
            </w:r>
            <w:r/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3.5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Обеспечение соблюдения ограничения доли расходов на обслуживание государственного долга Кра</w:t>
            </w:r>
            <w:r>
              <w:t xml:space="preserve">снодарского края в общем объеме расходов бюджета Краснодарского края, за исключением объема расходов, которые осуществляются за счет субвенций, предоставляемых из бюджетов бюджетной системы Российской Федерации (далее - доля расходов на обслуживание долга)</w:t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министерство финансов Краснодарского края</w:t>
            </w:r>
            <w:r/>
          </w:p>
        </w:tc>
        <w:tc>
          <w:tcPr>
            <w:tcW w:w="147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ежегодно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доля расходов на обслуживание долга, процент</w:t>
            </w:r>
            <w:r/>
          </w:p>
        </w:tc>
        <w:tc>
          <w:tcPr>
            <w:gridSpan w:val="4"/>
            <w:tcW w:w="4422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не более 5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не более 5</w:t>
            </w:r>
            <w:r/>
          </w:p>
        </w:tc>
        <w:tc>
          <w:tcPr>
            <w:tcW w:w="111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не более 5</w:t>
            </w:r>
            <w:r/>
          </w:p>
        </w:tc>
        <w:tc>
          <w:tcPr>
            <w:tcW w:w="114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не более 5</w:t>
            </w:r>
            <w:r/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не более 5</w:t>
            </w:r>
            <w:r/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3.6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Обеспечение возможности привлечения в бюджет Краснодарского края кредитов от кредитных организаций исключительно по ставкам на уровне не более чем уровень ключевой ставки, установленный Центральным банком Российской Федерации, увеличенный на 2,5% годовых</w:t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министерство финансов Краснодарского края</w:t>
            </w:r>
            <w:r/>
          </w:p>
        </w:tc>
        <w:tc>
          <w:tcPr>
            <w:tcW w:w="147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по мере необходимости</w:t>
            </w:r>
            <w:r/>
          </w:p>
        </w:tc>
        <w:tc>
          <w:tcPr>
            <w:gridSpan w:val="9"/>
            <w:tcW w:w="10716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установление при закупке услуг кредитных организа</w:t>
            </w:r>
            <w:r>
              <w:t xml:space="preserve">ций по предоставлению кредитов бюджету Краснодарского края начальной (максимальной) цены контракта исходя из величины процентной ставки не более чем уровень ключевой ставки, установленный Центральным банком Российской Федерации, увеличенный на 2,5% годовых</w:t>
            </w:r>
            <w:r/>
          </w:p>
        </w:tc>
      </w:tr>
      <w:tr>
        <w:tblPrEx/>
        <w:trPr/>
        <w:tc>
          <w:tcPr>
            <w:gridSpan w:val="5"/>
            <w:tcW w:w="7937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Итого по разделу 3, тыс. рублей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1000000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1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4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-</w:t>
            </w:r>
            <w:r/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1000000</w:t>
            </w:r>
            <w:r/>
          </w:p>
        </w:tc>
      </w:tr>
      <w:tr>
        <w:tblPrEx/>
        <w:trPr/>
        <w:tc>
          <w:tcPr>
            <w:gridSpan w:val="5"/>
            <w:tcW w:w="7937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Всего, тыс. рублей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1775000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1374466</w:t>
            </w:r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2054411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11920400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10400278</w:t>
            </w:r>
            <w:r/>
          </w:p>
        </w:tc>
        <w:tc>
          <w:tcPr>
            <w:tcW w:w="111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10810006</w:t>
            </w:r>
            <w:r/>
          </w:p>
        </w:tc>
        <w:tc>
          <w:tcPr>
            <w:tcW w:w="1149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7824000</w:t>
            </w:r>
            <w:r/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46158561</w:t>
            </w:r>
            <w:r/>
          </w:p>
        </w:tc>
      </w:tr>
      <w:tr>
        <w:tblPrEx/>
        <w:trPr/>
        <w:tc>
          <w:tcPr>
            <w:gridSpan w:val="13"/>
            <w:tcW w:w="16952" w:type="dxa"/>
            <w:textDirection w:val="lrTb"/>
            <w:noWrap w:val="false"/>
          </w:tcPr>
          <w:p>
            <w:pPr>
              <w:pStyle w:val="621"/>
              <w:ind w:firstLine="283"/>
              <w:jc w:val="both"/>
            </w:pPr>
            <w:r>
              <w:t xml:space="preserve">--------------------------------</w:t>
            </w:r>
            <w:r/>
          </w:p>
          <w:p>
            <w:pPr>
              <w:pStyle w:val="621"/>
              <w:ind w:firstLine="283"/>
              <w:jc w:val="both"/>
            </w:pPr>
            <w:r/>
            <w:bookmarkStart w:id="2" w:name="P696"/>
            <w:r/>
            <w:bookmarkEnd w:id="2"/>
            <w:r>
              <w:t xml:space="preserve">&lt;1&gt; Показатель, отражающий влияние реализации мероприятия на качество управления государственными финансами Краснодарского края.</w:t>
            </w:r>
            <w:r/>
          </w:p>
          <w:p>
            <w:pPr>
              <w:pStyle w:val="621"/>
              <w:ind w:firstLine="283"/>
              <w:jc w:val="both"/>
            </w:pPr>
            <w:r/>
            <w:bookmarkStart w:id="3" w:name="P697"/>
            <w:r/>
            <w:bookmarkEnd w:id="3"/>
            <w:r>
              <w:t xml:space="preserve">&lt;2&gt; Объем бюджетного эффекта определяется с учетом фактических расходов на компенсационные выплаты государственным гражданским служащим Краснодарского края (муниципальным служащим, иным работникам).</w:t>
            </w:r>
            <w:r/>
          </w:p>
          <w:p>
            <w:pPr>
              <w:pStyle w:val="621"/>
              <w:ind w:firstLine="283"/>
              <w:jc w:val="both"/>
            </w:pPr>
            <w:r/>
            <w:bookmarkStart w:id="4" w:name="P698"/>
            <w:r/>
            <w:bookmarkEnd w:id="4"/>
            <w:r>
              <w:t xml:space="preserve">&lt;3</w:t>
            </w:r>
            <w:r>
              <w:t xml:space="preserve">&gt; В</w:t>
            </w:r>
            <w:r>
              <w:t xml:space="preserve"> случае приостановления действия положений </w:t>
            </w:r>
            <w:hyperlink r:id="rId19" w:tooltip="https://login.consultant.ru/link/?req=doc&amp;base=LAW&amp;n=528378&amp;dst=100571" w:history="1">
              <w:r>
                <w:rPr>
                  <w:color w:val="0000ff"/>
                </w:rPr>
                <w:t xml:space="preserve">части 12 статьи 50</w:t>
              </w:r>
            </w:hyperlink>
            <w:r>
              <w:t xml:space="preserve"> Федерального закона от 27 июля 2004 г. N 79-ФЗ "О государственной гражданской службе Российской Федерации" в части увеличения (индексации) размеров окладов денежного содержания по должностям гражданской службы субъекта Российской Федерации, исключения </w:t>
            </w:r>
            <w:hyperlink r:id="rId20" w:tooltip="https://login.consultant.ru/link/?req=doc&amp;base=RLAW177&amp;n=277416&amp;dst=100163" w:history="1">
              <w:r>
                <w:rPr>
                  <w:color w:val="0000ff"/>
                </w:rPr>
                <w:t xml:space="preserve">части 1 статьи 16</w:t>
              </w:r>
            </w:hyperlink>
            <w:r>
              <w:t xml:space="preserve"> Закона Краснодарского края от 12 декабря 2025 г. N 5454-КЗ "О бюджете Краснодарского края на 2026 год и на плановый период 2027 и 2028 годов".</w:t>
            </w:r>
            <w:r/>
          </w:p>
          <w:p>
            <w:pPr>
              <w:pStyle w:val="621"/>
              <w:ind w:firstLine="283"/>
              <w:jc w:val="both"/>
            </w:pPr>
            <w:r/>
            <w:bookmarkStart w:id="5" w:name="P699"/>
            <w:r/>
            <w:bookmarkEnd w:id="5"/>
            <w:r>
              <w:t xml:space="preserve">&lt;4&gt; Закупки товаров, работ, услуг для обеспечения государственных нужд Краснодарского края (муниципальных нужд), осуществляемые в соответствии с </w:t>
            </w:r>
            <w:hyperlink r:id="rId21" w:tooltip="https://login.consultant.ru/link/?req=doc&amp;base=LAW&amp;n=495181&amp;dst=12218" w:history="1">
              <w:r>
                <w:rPr>
                  <w:color w:val="0000ff"/>
                </w:rPr>
                <w:t xml:space="preserve">пунктами 4</w:t>
              </w:r>
            </w:hyperlink>
            <w:r>
              <w:t xml:space="preserve"> и </w:t>
            </w:r>
            <w:hyperlink r:id="rId22" w:tooltip="https://login.consultant.ru/link/?req=doc&amp;base=LAW&amp;n=495181&amp;dst=12219" w:history="1">
              <w:r>
                <w:rPr>
                  <w:color w:val="0000ff"/>
                </w:rPr>
                <w:t xml:space="preserve">5 части 1 статьи 93</w:t>
              </w:r>
            </w:hyperlink>
            <w:r>
              <w:t xml:space="preserve"> Федерального закона N 44-ФЗ.</w:t>
            </w:r>
            <w:r/>
          </w:p>
          <w:p>
            <w:pPr>
              <w:pStyle w:val="621"/>
              <w:ind w:firstLine="283"/>
              <w:jc w:val="both"/>
            </w:pPr>
            <w:r/>
            <w:bookmarkStart w:id="6" w:name="P700"/>
            <w:r/>
            <w:bookmarkEnd w:id="6"/>
            <w:r>
              <w:t xml:space="preserve">&lt;5</w:t>
            </w:r>
            <w:r>
              <w:t xml:space="preserve">&gt; П</w:t>
            </w:r>
            <w:r>
              <w:t xml:space="preserve">од закупками товаров, работ, услуг</w:t>
            </w:r>
            <w:r>
              <w:t xml:space="preserve"> с признаками "искусственного дробления" понимаются закупки однородных либо идентичных товаров (работ, услуг) для обеспечения нужд заказчика с начальной (максимальной) ценой контракта, максимальным значением цены контракта, не превышающими 600 тыс. рублей.</w:t>
            </w:r>
            <w:r/>
          </w:p>
          <w:p>
            <w:pPr>
              <w:pStyle w:val="621"/>
              <w:ind w:firstLine="283"/>
              <w:jc w:val="both"/>
            </w:pPr>
            <w:r/>
            <w:bookmarkStart w:id="7" w:name="P701"/>
            <w:r/>
            <w:bookmarkEnd w:id="7"/>
            <w:r>
              <w:t xml:space="preserve">&lt;6</w:t>
            </w:r>
            <w:r>
              <w:t xml:space="preserve">&gt; В</w:t>
            </w:r>
            <w:r>
              <w:t xml:space="preserve"> случае исключения </w:t>
            </w:r>
            <w:hyperlink r:id="rId23" w:tooltip="https://login.consultant.ru/link/?req=doc&amp;base=RLAW177&amp;n=277416&amp;dst=100171" w:history="1">
              <w:r>
                <w:rPr>
                  <w:color w:val="0000ff"/>
                </w:rPr>
                <w:t xml:space="preserve">части 2 статьи 17</w:t>
              </w:r>
            </w:hyperlink>
            <w:r>
              <w:t xml:space="preserve"> Закона Краснодарского края от 12 декабря 2025 г. N 5454-КЗ "О бюджете Краснодарского края на 2026 год и на плановый период 2027 и 2028 годов".</w:t>
            </w:r>
            <w:r/>
          </w:p>
          <w:p>
            <w:pPr>
              <w:pStyle w:val="621"/>
              <w:ind w:firstLine="283"/>
              <w:jc w:val="both"/>
            </w:pPr>
            <w:r/>
            <w:bookmarkStart w:id="8" w:name="P702"/>
            <w:r/>
            <w:bookmarkEnd w:id="8"/>
            <w:r>
              <w:t xml:space="preserve">&lt;7</w:t>
            </w:r>
            <w:r>
              <w:t xml:space="preserve">&gt; П</w:t>
            </w:r>
            <w:r>
              <w:t xml:space="preserve">ри расчете показателей дефицита бюджета Краснодарского края учитываются возможности его превышения, установленные федеральными законами, регулирующими бюджетные правоотношения.</w:t>
            </w:r>
            <w:r/>
          </w:p>
        </w:tc>
      </w:tr>
    </w:tbl>
    <w:p>
      <w:pPr>
        <w:pStyle w:val="621"/>
        <w:sectPr>
          <w:footnotePr/>
          <w:endnotePr/>
          <w:type w:val="nextPage"/>
          <w:pgSz w:w="16838" w:h="11905" w:orient="landscape"/>
          <w:pgMar w:top="1701" w:right="397" w:bottom="850" w:left="397" w:header="0" w:footer="0" w:gutter="0"/>
          <w:cols w:num="1" w:sep="0" w:space="720" w:equalWidth="1"/>
          <w:docGrid w:linePitch="360"/>
          <w:titlePg/>
        </w:sectPr>
      </w:pPr>
      <w:r/>
      <w:r/>
    </w:p>
    <w:p>
      <w:pPr>
        <w:pStyle w:val="621"/>
        <w:jc w:val="both"/>
      </w:pPr>
      <w:r/>
      <w:r/>
    </w:p>
    <w:p>
      <w:pPr>
        <w:pStyle w:val="621"/>
        <w:jc w:val="right"/>
      </w:pPr>
      <w:r>
        <w:t xml:space="preserve">Министр финансов</w:t>
      </w:r>
      <w:r/>
    </w:p>
    <w:p>
      <w:pPr>
        <w:pStyle w:val="621"/>
        <w:jc w:val="right"/>
      </w:pPr>
      <w:r>
        <w:t xml:space="preserve">Краснодарского края</w:t>
      </w:r>
      <w:r/>
    </w:p>
    <w:p>
      <w:pPr>
        <w:pStyle w:val="621"/>
        <w:jc w:val="right"/>
      </w:pPr>
      <w:r>
        <w:t xml:space="preserve">А.В.КНЫШОВ</w:t>
      </w:r>
      <w:r/>
    </w:p>
    <w:p>
      <w:pPr>
        <w:pStyle w:val="621"/>
        <w:jc w:val="both"/>
      </w:pPr>
      <w:r/>
      <w:r/>
    </w:p>
    <w:p>
      <w:pPr>
        <w:pStyle w:val="621"/>
        <w:jc w:val="both"/>
      </w:pPr>
      <w:r/>
      <w:r/>
    </w:p>
    <w:p>
      <w:pPr>
        <w:pStyle w:val="621"/>
        <w:jc w:val="both"/>
        <w:spacing w:before="100" w:after="100"/>
        <w:rPr>
          <w:sz w:val="2"/>
          <w:szCs w:val="2"/>
        </w:rPr>
        <w:pBdr>
          <w:bottom w:val="single" w:color="000000" w:sz="6" w:space="0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r/>
      <w:bookmarkStart w:id="9" w:name="_GoBack"/>
      <w:r/>
      <w:bookmarkEnd w:id="9"/>
      <w:r/>
      <w:r/>
    </w:p>
    <w:sectPr>
      <w:footnotePr/>
      <w:endnotePr/>
      <w:type w:val="nextPage"/>
      <w:pgSz w:w="11905" w:h="16838" w:orient="portrait"/>
      <w:pgMar w:top="1134" w:right="850" w:bottom="1134" w:left="1701" w:header="0" w:footer="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622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623" w:customStyle="1">
    <w:name w:val="ConsPlusTitle"/>
    <w:pPr>
      <w:spacing w:after="0" w:line="240" w:lineRule="auto"/>
      <w:widowControl w:val="off"/>
    </w:pPr>
    <w:rPr>
      <w:rFonts w:ascii="Calibri" w:hAnsi="Calibri" w:eastAsia="Times New Roman" w:cs="Calibri"/>
      <w:b/>
      <w:szCs w:val="20"/>
      <w:lang w:eastAsia="ru-RU"/>
    </w:rPr>
  </w:style>
  <w:style w:type="paragraph" w:styleId="624" w:customStyle="1">
    <w:name w:val="ConsPlusCell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625" w:customStyle="1">
    <w:name w:val="ConsPlusDocList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626" w:customStyle="1">
    <w:name w:val="ConsPlusTitlePage"/>
    <w:pPr>
      <w:spacing w:after="0" w:line="240" w:lineRule="auto"/>
      <w:widowControl w:val="off"/>
    </w:pPr>
    <w:rPr>
      <w:rFonts w:ascii="Tahoma" w:hAnsi="Tahoma" w:eastAsia="Times New Roman" w:cs="Tahoma"/>
      <w:sz w:val="20"/>
      <w:szCs w:val="20"/>
      <w:lang w:eastAsia="ru-RU"/>
    </w:rPr>
  </w:style>
  <w:style w:type="paragraph" w:styleId="627" w:customStyle="1">
    <w:name w:val="ConsPlusJurTerm"/>
    <w:pPr>
      <w:spacing w:after="0" w:line="240" w:lineRule="auto"/>
      <w:widowControl w:val="off"/>
    </w:pPr>
    <w:rPr>
      <w:rFonts w:ascii="Tahoma" w:hAnsi="Tahoma" w:eastAsia="Times New Roman" w:cs="Tahoma"/>
      <w:sz w:val="26"/>
      <w:szCs w:val="20"/>
      <w:lang w:eastAsia="ru-RU"/>
    </w:rPr>
  </w:style>
  <w:style w:type="paragraph" w:styleId="628" w:customStyle="1">
    <w:name w:val="ConsPlusTextList"/>
    <w:pPr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512721&amp;dst=101884" TargetMode="External"/><Relationship Id="rId10" Type="http://schemas.openxmlformats.org/officeDocument/2006/relationships/hyperlink" Target="https://login.consultant.ru/link/?req=doc&amp;base=LAW&amp;n=512721&amp;dst=101884" TargetMode="External"/><Relationship Id="rId11" Type="http://schemas.openxmlformats.org/officeDocument/2006/relationships/hyperlink" Target="https://login.consultant.ru/link/?req=doc&amp;base=LAW&amp;n=532972&amp;dst=28405" TargetMode="External"/><Relationship Id="rId12" Type="http://schemas.openxmlformats.org/officeDocument/2006/relationships/hyperlink" Target="https://login.consultant.ru/link/?req=doc&amp;base=LAW&amp;n=532972&amp;dst=28408" TargetMode="External"/><Relationship Id="rId13" Type="http://schemas.openxmlformats.org/officeDocument/2006/relationships/hyperlink" Target="https://login.consultant.ru/link/?req=doc&amp;base=LAW&amp;n=2875" TargetMode="External"/><Relationship Id="rId14" Type="http://schemas.openxmlformats.org/officeDocument/2006/relationships/hyperlink" Target="https://login.consultant.ru/link/?req=doc&amp;base=LAW&amp;n=495181&amp;dst=12286" TargetMode="External"/><Relationship Id="rId15" Type="http://schemas.openxmlformats.org/officeDocument/2006/relationships/hyperlink" Target="https://login.consultant.ru/link/?req=doc&amp;base=LAW&amp;n=495181&amp;dst=12286" TargetMode="External"/><Relationship Id="rId16" Type="http://schemas.openxmlformats.org/officeDocument/2006/relationships/hyperlink" Target="https://login.consultant.ru/link/?req=doc&amp;base=LAW&amp;n=495181&amp;dst=12218" TargetMode="External"/><Relationship Id="rId17" Type="http://schemas.openxmlformats.org/officeDocument/2006/relationships/hyperlink" Target="https://login.consultant.ru/link/?req=doc&amp;base=LAW&amp;n=495181&amp;dst=12219" TargetMode="External"/><Relationship Id="rId18" Type="http://schemas.openxmlformats.org/officeDocument/2006/relationships/hyperlink" Target="https://login.consultant.ru/link/?req=doc&amp;base=RLAW177&amp;n=278904" TargetMode="External"/><Relationship Id="rId19" Type="http://schemas.openxmlformats.org/officeDocument/2006/relationships/hyperlink" Target="https://login.consultant.ru/link/?req=doc&amp;base=LAW&amp;n=528378&amp;dst=100571" TargetMode="External"/><Relationship Id="rId20" Type="http://schemas.openxmlformats.org/officeDocument/2006/relationships/hyperlink" Target="https://login.consultant.ru/link/?req=doc&amp;base=RLAW177&amp;n=277416&amp;dst=100163" TargetMode="External"/><Relationship Id="rId21" Type="http://schemas.openxmlformats.org/officeDocument/2006/relationships/hyperlink" Target="https://login.consultant.ru/link/?req=doc&amp;base=LAW&amp;n=495181&amp;dst=12218" TargetMode="External"/><Relationship Id="rId22" Type="http://schemas.openxmlformats.org/officeDocument/2006/relationships/hyperlink" Target="https://login.consultant.ru/link/?req=doc&amp;base=LAW&amp;n=495181&amp;dst=12219" TargetMode="External"/><Relationship Id="rId23" Type="http://schemas.openxmlformats.org/officeDocument/2006/relationships/hyperlink" Target="https://login.consultant.ru/link/?req=doc&amp;base=RLAW177&amp;n=277416&amp;dst=100171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Р7-Офис/2024.1.2.400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Трубецкая Наталья Валерьевна</dc:creator>
  <cp:revision>3</cp:revision>
  <dcterms:created xsi:type="dcterms:W3CDTF">2026-06-19T06:59:00Z</dcterms:created>
  <dcterms:modified xsi:type="dcterms:W3CDTF">2026-06-19T08:02:46Z</dcterms:modified>
</cp:coreProperties>
</file>